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1D7" w:rsidRPr="001711D7" w:rsidRDefault="001711D7" w:rsidP="001711D7">
      <w:pPr>
        <w:spacing w:before="285" w:after="142"/>
        <w:textAlignment w:val="baseline"/>
        <w:outlineLvl w:val="0"/>
        <w:rPr>
          <w:rFonts w:ascii="inherit" w:eastAsia="Times New Roman" w:hAnsi="inherit" w:cs="Times New Roman"/>
          <w:color w:val="468173"/>
          <w:kern w:val="36"/>
          <w:sz w:val="61"/>
          <w:szCs w:val="61"/>
        </w:rPr>
      </w:pPr>
      <w:r w:rsidRPr="001711D7">
        <w:rPr>
          <w:rFonts w:ascii="inherit" w:eastAsia="Times New Roman" w:hAnsi="inherit" w:cs="Times New Roman"/>
          <w:color w:val="468173"/>
          <w:kern w:val="36"/>
          <w:sz w:val="61"/>
          <w:szCs w:val="61"/>
        </w:rPr>
        <w:t>Definition and  Types of Agency Relationships</w:t>
      </w:r>
    </w:p>
    <w:p w:rsidR="001711D7" w:rsidRPr="001711D7" w:rsidRDefault="001711D7" w:rsidP="001711D7">
      <w:pPr>
        <w:spacing w:before="285" w:after="190"/>
        <w:textAlignment w:val="baseline"/>
        <w:outlineLvl w:val="0"/>
        <w:rPr>
          <w:rFonts w:ascii="inherit" w:eastAsia="Times New Roman" w:hAnsi="inherit" w:cs="Times New Roman"/>
          <w:color w:val="585858"/>
          <w:kern w:val="36"/>
          <w:sz w:val="45"/>
          <w:szCs w:val="45"/>
        </w:rPr>
      </w:pPr>
      <w:r w:rsidRPr="001711D7">
        <w:rPr>
          <w:rFonts w:ascii="inherit" w:eastAsia="Times New Roman" w:hAnsi="inherit" w:cs="Times New Roman"/>
          <w:color w:val="585858"/>
          <w:kern w:val="36"/>
          <w:sz w:val="45"/>
          <w:szCs w:val="45"/>
        </w:rPr>
        <w:t>Definition of Agency</w:t>
      </w:r>
    </w:p>
    <w:p w:rsidR="001711D7" w:rsidRPr="001711D7" w:rsidRDefault="001711D7" w:rsidP="001711D7">
      <w:pPr>
        <w:textAlignment w:val="baseline"/>
        <w:rPr>
          <w:rFonts w:ascii="inherit" w:eastAsia="Times New Roman" w:hAnsi="inherit" w:cs="Times New Roman"/>
        </w:rPr>
      </w:pPr>
      <w:hyperlink r:id="rId5" w:anchor="P70004991910000000000000000058C7" w:history="1">
        <w:r w:rsidRPr="001711D7">
          <w:rPr>
            <w:rFonts w:ascii="inherit" w:eastAsia="Times New Roman" w:hAnsi="inherit" w:cs="Times New Roman"/>
            <w:b/>
            <w:bCs/>
            <w:color w:val="1E7AB9"/>
            <w:u w:val="single"/>
            <w:bdr w:val="none" w:sz="0" w:space="0" w:color="auto" w:frame="1"/>
          </w:rPr>
          <w:t>Agency</w:t>
        </w:r>
      </w:hyperlink>
      <w:r w:rsidRPr="001711D7">
        <w:rPr>
          <w:rFonts w:ascii="inherit" w:eastAsia="Times New Roman" w:hAnsi="inherit" w:cs="Times New Roman"/>
        </w:rPr>
        <w:t> is defined as a fiduciary relationship (one of trust and confidence) between two persons in which they mutually agree that one person (the </w:t>
      </w:r>
      <w:r w:rsidRPr="001711D7">
        <w:rPr>
          <w:rFonts w:ascii="inherit" w:eastAsia="Times New Roman" w:hAnsi="inherit" w:cs="Times New Roman"/>
          <w:i/>
          <w:iCs/>
          <w:bdr w:val="none" w:sz="0" w:space="0" w:color="auto" w:frame="1"/>
        </w:rPr>
        <w:t>agent</w:t>
      </w:r>
      <w:r w:rsidRPr="001711D7">
        <w:rPr>
          <w:rFonts w:ascii="inherit" w:eastAsia="Times New Roman" w:hAnsi="inherit" w:cs="Times New Roman"/>
        </w:rPr>
        <w:t>) will act on behalf of the other (the </w:t>
      </w:r>
      <w:r w:rsidRPr="001711D7">
        <w:rPr>
          <w:rFonts w:ascii="inherit" w:eastAsia="Times New Roman" w:hAnsi="inherit" w:cs="Times New Roman"/>
          <w:i/>
          <w:iCs/>
          <w:bdr w:val="none" w:sz="0" w:space="0" w:color="auto" w:frame="1"/>
        </w:rPr>
        <w:t>principal</w:t>
      </w:r>
      <w:r w:rsidRPr="001711D7">
        <w:rPr>
          <w:rFonts w:ascii="inherit" w:eastAsia="Times New Roman" w:hAnsi="inherit" w:cs="Times New Roman"/>
        </w:rPr>
        <w:t>) and be subject to the latter’s control and consent. For example, a corporate officer who enters into contracts that legally bind the corporation is representing the corporation as an agent.</w:t>
      </w:r>
    </w:p>
    <w:p w:rsidR="001711D7" w:rsidRPr="001711D7" w:rsidRDefault="001711D7" w:rsidP="001711D7">
      <w:pPr>
        <w:textAlignment w:val="baseline"/>
        <w:rPr>
          <w:rFonts w:ascii="inherit" w:eastAsia="Times New Roman" w:hAnsi="inherit" w:cs="Times New Roman"/>
        </w:rPr>
      </w:pPr>
      <w:r w:rsidRPr="001711D7">
        <w:rPr>
          <w:rFonts w:ascii="inherit" w:eastAsia="Times New Roman" w:hAnsi="inherit" w:cs="Times New Roman"/>
          <w:b/>
          <w:bCs/>
          <w:i/>
          <w:iCs/>
          <w:color w:val="333333"/>
          <w:bdr w:val="none" w:sz="0" w:space="0" w:color="auto" w:frame="1"/>
        </w:rPr>
        <w:t>agency </w:t>
      </w:r>
    </w:p>
    <w:p w:rsidR="001711D7" w:rsidRPr="001711D7" w:rsidRDefault="001711D7" w:rsidP="001711D7">
      <w:pPr>
        <w:ind w:left="720"/>
        <w:textAlignment w:val="baseline"/>
        <w:rPr>
          <w:rFonts w:ascii="inherit" w:eastAsia="Times New Roman" w:hAnsi="inherit" w:cs="Times New Roman"/>
        </w:rPr>
      </w:pPr>
      <w:r w:rsidRPr="001711D7">
        <w:rPr>
          <w:rFonts w:ascii="inherit" w:eastAsia="Times New Roman" w:hAnsi="inherit" w:cs="Times New Roman"/>
        </w:rPr>
        <w:t>A fiduciary relationship between two persons in which one (the agent) acts on behalf of, and is subject to the control of, the other (the principal).</w:t>
      </w:r>
    </w:p>
    <w:p w:rsidR="001711D7" w:rsidRPr="001711D7" w:rsidRDefault="001711D7" w:rsidP="001711D7">
      <w:pPr>
        <w:spacing w:after="360"/>
        <w:textAlignment w:val="baseline"/>
        <w:rPr>
          <w:rFonts w:ascii="inherit" w:eastAsia="Times New Roman" w:hAnsi="inherit" w:cs="Times New Roman"/>
        </w:rPr>
      </w:pPr>
      <w:r w:rsidRPr="001711D7">
        <w:rPr>
          <w:rFonts w:ascii="inherit" w:eastAsia="Times New Roman" w:hAnsi="inherit" w:cs="Times New Roman"/>
        </w:rPr>
        <w:t>Provided they are able to understand the instructions of a principal, most people have the capacity to act as agents. For example, a minor can be employed by a principal to act as an agent in making an offer of employment to a third person. The minor’s lack of capacity to enter a contract is immaterial here, because the contract is between the principal and the third party. (The minor’s lack of contractual capacity, however, means that any agreement between the minor and the principal may be voided by the minor before he or she reaches majority age or shortly thereafter.)</w:t>
      </w:r>
    </w:p>
    <w:p w:rsidR="001711D7" w:rsidRPr="001711D7" w:rsidRDefault="001711D7" w:rsidP="001711D7">
      <w:pPr>
        <w:spacing w:before="285" w:after="190"/>
        <w:textAlignment w:val="baseline"/>
        <w:outlineLvl w:val="0"/>
        <w:rPr>
          <w:rFonts w:ascii="inherit" w:eastAsia="Times New Roman" w:hAnsi="inherit" w:cs="Times New Roman"/>
          <w:color w:val="585858"/>
          <w:kern w:val="36"/>
          <w:sz w:val="45"/>
          <w:szCs w:val="45"/>
        </w:rPr>
      </w:pPr>
      <w:r w:rsidRPr="001711D7">
        <w:rPr>
          <w:rFonts w:ascii="inherit" w:eastAsia="Times New Roman" w:hAnsi="inherit" w:cs="Times New Roman"/>
          <w:color w:val="585858"/>
          <w:kern w:val="36"/>
          <w:sz w:val="45"/>
          <w:szCs w:val="45"/>
        </w:rPr>
        <w:t>Types of Agency Relationships</w:t>
      </w:r>
    </w:p>
    <w:p w:rsidR="001711D7" w:rsidRPr="001711D7" w:rsidRDefault="001711D7" w:rsidP="001711D7">
      <w:pPr>
        <w:textAlignment w:val="baseline"/>
        <w:rPr>
          <w:rFonts w:ascii="inherit" w:eastAsia="Times New Roman" w:hAnsi="inherit" w:cs="Times New Roman"/>
        </w:rPr>
      </w:pPr>
      <w:r w:rsidRPr="001711D7">
        <w:rPr>
          <w:rFonts w:ascii="inherit" w:eastAsia="Times New Roman" w:hAnsi="inherit" w:cs="Times New Roman"/>
        </w:rPr>
        <w:t>Agency law is concerned with three types of relationships: principal–agent, employer–employee, and employer–independent contractor. These relationships are summarized in </w:t>
      </w:r>
      <w:hyperlink r:id="rId6" w:anchor="P7000499191000000000000000003241" w:history="1">
        <w:r w:rsidRPr="001711D7">
          <w:rPr>
            <w:rFonts w:ascii="inherit" w:eastAsia="Times New Roman" w:hAnsi="inherit" w:cs="Times New Roman"/>
            <w:b/>
            <w:bCs/>
            <w:color w:val="1E7AB9"/>
            <w:bdr w:val="none" w:sz="0" w:space="0" w:color="auto" w:frame="1"/>
          </w:rPr>
          <w:t>Table 15-1</w:t>
        </w:r>
      </w:hyperlink>
      <w:r w:rsidRPr="001711D7">
        <w:rPr>
          <w:rFonts w:ascii="inherit" w:eastAsia="Times New Roman" w:hAnsi="inherit" w:cs="Times New Roman"/>
        </w:rPr>
        <w:t>.</w:t>
      </w:r>
    </w:p>
    <w:p w:rsidR="001711D7" w:rsidRPr="001711D7" w:rsidRDefault="001711D7" w:rsidP="001711D7">
      <w:pPr>
        <w:spacing w:before="228" w:after="114"/>
        <w:textAlignment w:val="baseline"/>
        <w:outlineLvl w:val="0"/>
        <w:rPr>
          <w:rFonts w:ascii="inherit" w:eastAsia="Times New Roman" w:hAnsi="inherit" w:cs="Times New Roman"/>
          <w:i/>
          <w:iCs/>
          <w:color w:val="585858"/>
          <w:kern w:val="36"/>
          <w:sz w:val="38"/>
          <w:szCs w:val="38"/>
        </w:rPr>
      </w:pPr>
      <w:r w:rsidRPr="001711D7">
        <w:rPr>
          <w:rFonts w:ascii="inherit" w:eastAsia="Times New Roman" w:hAnsi="inherit" w:cs="Times New Roman"/>
          <w:i/>
          <w:iCs/>
          <w:color w:val="585858"/>
          <w:kern w:val="36"/>
          <w:sz w:val="38"/>
          <w:szCs w:val="38"/>
        </w:rPr>
        <w:t>Principal–Agent</w:t>
      </w:r>
    </w:p>
    <w:p w:rsidR="001711D7" w:rsidRPr="001711D7" w:rsidRDefault="001711D7" w:rsidP="001711D7">
      <w:pPr>
        <w:textAlignment w:val="baseline"/>
        <w:rPr>
          <w:rFonts w:ascii="inherit" w:eastAsia="Times New Roman" w:hAnsi="inherit" w:cs="Times New Roman"/>
        </w:rPr>
      </w:pPr>
      <w:r w:rsidRPr="001711D7">
        <w:rPr>
          <w:rFonts w:ascii="inherit" w:eastAsia="Times New Roman" w:hAnsi="inherit" w:cs="Times New Roman"/>
        </w:rPr>
        <w:t> </w:t>
      </w:r>
      <w:r w:rsidRPr="001711D7">
        <w:rPr>
          <w:rFonts w:ascii="inherit" w:eastAsia="Times New Roman" w:hAnsi="inherit" w:cs="Times New Roman"/>
        </w:rPr>
        <w:t>The </w:t>
      </w:r>
      <w:hyperlink r:id="rId7" w:anchor="P7000499191000000000000000005C3F" w:history="1">
        <w:r w:rsidRPr="001711D7">
          <w:rPr>
            <w:rFonts w:ascii="inherit" w:eastAsia="Times New Roman" w:hAnsi="inherit" w:cs="Times New Roman"/>
            <w:b/>
            <w:bCs/>
            <w:color w:val="1E7AB9"/>
            <w:u w:val="single"/>
            <w:bdr w:val="none" w:sz="0" w:space="0" w:color="auto" w:frame="1"/>
          </w:rPr>
          <w:t>principal–agent relationship</w:t>
        </w:r>
      </w:hyperlink>
      <w:r w:rsidRPr="001711D7">
        <w:rPr>
          <w:rFonts w:ascii="inherit" w:eastAsia="Times New Roman" w:hAnsi="inherit" w:cs="Times New Roman"/>
        </w:rPr>
        <w:t> (</w:t>
      </w:r>
      <w:hyperlink r:id="rId8" w:anchor="P700049919100000000000000000324D" w:history="1">
        <w:r w:rsidRPr="001711D7">
          <w:rPr>
            <w:rFonts w:ascii="inherit" w:eastAsia="Times New Roman" w:hAnsi="inherit" w:cs="Times New Roman"/>
            <w:b/>
            <w:bCs/>
            <w:color w:val="1E7AB9"/>
            <w:bdr w:val="none" w:sz="0" w:space="0" w:color="auto" w:frame="1"/>
          </w:rPr>
          <w:t>Exhibit 15-1</w:t>
        </w:r>
      </w:hyperlink>
      <w:r w:rsidRPr="001711D7">
        <w:rPr>
          <w:rFonts w:ascii="inherit" w:eastAsia="Times New Roman" w:hAnsi="inherit" w:cs="Times New Roman"/>
        </w:rPr>
        <w:t>) is a relationship in which the principal (usually an employer) hires an agent (employee) and gives the agent either expressed (express) or actual authority to act on the principal’s behalf. </w:t>
      </w:r>
      <w:hyperlink r:id="rId9" w:anchor="P7000499191000000000000000005A5A" w:history="1">
        <w:r w:rsidRPr="001711D7">
          <w:rPr>
            <w:rFonts w:ascii="inherit" w:eastAsia="Times New Roman" w:hAnsi="inherit" w:cs="Times New Roman"/>
            <w:b/>
            <w:bCs/>
            <w:color w:val="1E7AB9"/>
            <w:u w:val="single"/>
            <w:bdr w:val="none" w:sz="0" w:space="0" w:color="auto" w:frame="1"/>
          </w:rPr>
          <w:t>Expressed authority</w:t>
        </w:r>
      </w:hyperlink>
      <w:r w:rsidRPr="001711D7">
        <w:rPr>
          <w:rFonts w:ascii="inherit" w:eastAsia="Times New Roman" w:hAnsi="inherit" w:cs="Times New Roman"/>
        </w:rPr>
        <w:t> arises from specific statements made by the principal to the agent. </w:t>
      </w:r>
      <w:hyperlink r:id="rId10" w:anchor="P70004991910000000000000000058A9" w:history="1">
        <w:r w:rsidRPr="001711D7">
          <w:rPr>
            <w:rFonts w:ascii="inherit" w:eastAsia="Times New Roman" w:hAnsi="inherit" w:cs="Times New Roman"/>
            <w:b/>
            <w:bCs/>
            <w:color w:val="1E7AB9"/>
            <w:u w:val="single"/>
            <w:bdr w:val="none" w:sz="0" w:space="0" w:color="auto" w:frame="1"/>
          </w:rPr>
          <w:t>Actual authority</w:t>
        </w:r>
      </w:hyperlink>
      <w:r w:rsidRPr="001711D7">
        <w:rPr>
          <w:rFonts w:ascii="inherit" w:eastAsia="Times New Roman" w:hAnsi="inherit" w:cs="Times New Roman"/>
        </w:rPr>
        <w:t> includes expressed authority and implied authority—that authority customarily given to an agent in an industry, a trade, or a profession. The principal–agent relationship is the most basic type of agency relationship. It is, in fact, the foundation of the next two types of agency relationships we are about to discuss: that between employer and employee and that between principal (employer) and independent contractor.</w:t>
      </w:r>
    </w:p>
    <w:p w:rsidR="001711D7" w:rsidRPr="001711D7" w:rsidRDefault="001711D7" w:rsidP="001711D7">
      <w:pPr>
        <w:textAlignment w:val="baseline"/>
        <w:rPr>
          <w:rFonts w:ascii="inherit" w:eastAsia="Times New Roman" w:hAnsi="inherit" w:cs="Times New Roman"/>
        </w:rPr>
      </w:pPr>
      <w:r w:rsidRPr="001711D7">
        <w:rPr>
          <w:rFonts w:ascii="inherit" w:eastAsia="Times New Roman" w:hAnsi="inherit" w:cs="Times New Roman"/>
          <w:b/>
          <w:bCs/>
          <w:i/>
          <w:iCs/>
          <w:color w:val="333333"/>
          <w:bdr w:val="none" w:sz="0" w:space="0" w:color="auto" w:frame="1"/>
        </w:rPr>
        <w:t>principal–agent relationship </w:t>
      </w:r>
    </w:p>
    <w:p w:rsidR="001711D7" w:rsidRPr="001711D7" w:rsidRDefault="001711D7" w:rsidP="001711D7">
      <w:pPr>
        <w:ind w:left="720"/>
        <w:textAlignment w:val="baseline"/>
        <w:rPr>
          <w:rFonts w:ascii="inherit" w:eastAsia="Times New Roman" w:hAnsi="inherit" w:cs="Times New Roman"/>
        </w:rPr>
      </w:pPr>
      <w:r w:rsidRPr="001711D7">
        <w:rPr>
          <w:rFonts w:ascii="inherit" w:eastAsia="Times New Roman" w:hAnsi="inherit" w:cs="Times New Roman"/>
        </w:rPr>
        <w:lastRenderedPageBreak/>
        <w:t>Relationship in which the principal gives the agent expressed or actual authority to act on the former’s behalf.</w:t>
      </w:r>
    </w:p>
    <w:p w:rsidR="001711D7" w:rsidRPr="001711D7" w:rsidRDefault="001711D7" w:rsidP="001711D7">
      <w:pPr>
        <w:textAlignment w:val="baseline"/>
        <w:rPr>
          <w:rFonts w:ascii="inherit" w:eastAsia="Times New Roman" w:hAnsi="inherit" w:cs="Times New Roman"/>
        </w:rPr>
      </w:pPr>
      <w:r w:rsidRPr="001711D7">
        <w:rPr>
          <w:rFonts w:ascii="inherit" w:eastAsia="Times New Roman" w:hAnsi="inherit" w:cs="Times New Roman"/>
          <w:b/>
          <w:bCs/>
          <w:i/>
          <w:iCs/>
          <w:color w:val="333333"/>
          <w:bdr w:val="none" w:sz="0" w:space="0" w:color="auto" w:frame="1"/>
        </w:rPr>
        <w:t>expressed authority </w:t>
      </w:r>
    </w:p>
    <w:p w:rsidR="001711D7" w:rsidRPr="001711D7" w:rsidRDefault="001711D7" w:rsidP="001711D7">
      <w:pPr>
        <w:ind w:left="720"/>
        <w:textAlignment w:val="baseline"/>
        <w:rPr>
          <w:rFonts w:ascii="inherit" w:eastAsia="Times New Roman" w:hAnsi="inherit" w:cs="Times New Roman"/>
        </w:rPr>
      </w:pPr>
      <w:r w:rsidRPr="001711D7">
        <w:rPr>
          <w:rFonts w:ascii="inherit" w:eastAsia="Times New Roman" w:hAnsi="inherit" w:cs="Times New Roman"/>
        </w:rPr>
        <w:t>Authority that arises from specific statements made by the principal (employer) to the agent (employee).</w:t>
      </w:r>
    </w:p>
    <w:p w:rsidR="001711D7" w:rsidRPr="001711D7" w:rsidRDefault="001711D7" w:rsidP="001711D7">
      <w:pPr>
        <w:textAlignment w:val="baseline"/>
        <w:rPr>
          <w:rFonts w:ascii="inherit" w:eastAsia="Times New Roman" w:hAnsi="inherit" w:cs="Times New Roman"/>
        </w:rPr>
      </w:pPr>
      <w:r w:rsidRPr="001711D7">
        <w:rPr>
          <w:rFonts w:ascii="inherit" w:eastAsia="Times New Roman" w:hAnsi="inherit" w:cs="Times New Roman"/>
          <w:b/>
          <w:bCs/>
          <w:i/>
          <w:iCs/>
          <w:color w:val="333333"/>
          <w:bdr w:val="none" w:sz="0" w:space="0" w:color="auto" w:frame="1"/>
        </w:rPr>
        <w:t>actual authority </w:t>
      </w:r>
    </w:p>
    <w:p w:rsidR="001711D7" w:rsidRPr="001711D7" w:rsidRDefault="001711D7" w:rsidP="001711D7">
      <w:pPr>
        <w:ind w:left="720"/>
        <w:textAlignment w:val="baseline"/>
        <w:rPr>
          <w:rFonts w:ascii="inherit" w:eastAsia="Times New Roman" w:hAnsi="inherit" w:cs="Times New Roman"/>
        </w:rPr>
      </w:pPr>
      <w:r w:rsidRPr="001711D7">
        <w:rPr>
          <w:rFonts w:ascii="inherit" w:eastAsia="Times New Roman" w:hAnsi="inherit" w:cs="Times New Roman"/>
        </w:rPr>
        <w:t>Includes expressed authority as well as implied authority, or that authority customarily given to an agent in an industry, a trade, or a profession.</w:t>
      </w:r>
    </w:p>
    <w:p w:rsidR="001711D7" w:rsidRPr="001711D7" w:rsidRDefault="001711D7" w:rsidP="001711D7">
      <w:pPr>
        <w:spacing w:before="285" w:after="142"/>
        <w:textAlignment w:val="baseline"/>
        <w:outlineLvl w:val="0"/>
        <w:rPr>
          <w:rFonts w:ascii="inherit" w:eastAsia="Times New Roman" w:hAnsi="inherit" w:cs="Times New Roman"/>
          <w:color w:val="585858"/>
          <w:kern w:val="36"/>
          <w:sz w:val="30"/>
          <w:szCs w:val="30"/>
        </w:rPr>
      </w:pPr>
      <w:r w:rsidRPr="001711D7">
        <w:rPr>
          <w:rFonts w:ascii="inherit" w:eastAsia="Times New Roman" w:hAnsi="inherit" w:cs="Times New Roman"/>
          <w:color w:val="585858"/>
          <w:kern w:val="36"/>
          <w:sz w:val="30"/>
          <w:szCs w:val="30"/>
        </w:rPr>
        <w:t>Employer–Employee</w:t>
      </w:r>
    </w:p>
    <w:p w:rsidR="001711D7" w:rsidRPr="001711D7" w:rsidRDefault="001711D7" w:rsidP="001711D7">
      <w:pPr>
        <w:textAlignment w:val="baseline"/>
        <w:rPr>
          <w:rFonts w:ascii="inherit" w:eastAsia="Times New Roman" w:hAnsi="inherit" w:cs="Times New Roman"/>
        </w:rPr>
      </w:pPr>
      <w:r w:rsidRPr="001711D7">
        <w:rPr>
          <w:rFonts w:ascii="inherit" w:eastAsia="Times New Roman" w:hAnsi="inherit" w:cs="Times New Roman"/>
        </w:rPr>
        <w:t> </w:t>
      </w:r>
      <w:r w:rsidRPr="001711D7">
        <w:rPr>
          <w:rFonts w:ascii="inherit" w:eastAsia="Times New Roman" w:hAnsi="inherit" w:cs="Times New Roman"/>
        </w:rPr>
        <w:t>The employer–employee relationship evolved out of the traditional master–servant relationship, in which a master employed a servant to perform services and the servant’s conduct was subject to the master’s physical control. Under the doctrine of </w:t>
      </w:r>
      <w:hyperlink r:id="rId11" w:anchor="P7000499191000000000000000005CA0" w:history="1">
        <w:r w:rsidRPr="001711D7">
          <w:rPr>
            <w:rFonts w:ascii="inherit" w:eastAsia="Times New Roman" w:hAnsi="inherit" w:cs="Times New Roman"/>
            <w:b/>
            <w:bCs/>
            <w:i/>
            <w:iCs/>
            <w:color w:val="1E7AB9"/>
            <w:u w:val="single"/>
            <w:bdr w:val="none" w:sz="0" w:space="0" w:color="auto" w:frame="1"/>
          </w:rPr>
          <w:t>respondeat superior</w:t>
        </w:r>
      </w:hyperlink>
      <w:r w:rsidRPr="001711D7">
        <w:rPr>
          <w:rFonts w:ascii="inherit" w:eastAsia="Times New Roman" w:hAnsi="inherit" w:cs="Times New Roman"/>
        </w:rPr>
        <w:t>, the master was responsible for servants’ acts that were within the scope of their employment. In the postindustrialized version of this arrangement, the </w:t>
      </w:r>
      <w:hyperlink r:id="rId12" w:anchor="P7000499191000000000000000005A17" w:history="1">
        <w:r w:rsidRPr="001711D7">
          <w:rPr>
            <w:rFonts w:ascii="inherit" w:eastAsia="Times New Roman" w:hAnsi="inherit" w:cs="Times New Roman"/>
            <w:b/>
            <w:bCs/>
            <w:color w:val="1E7AB9"/>
            <w:u w:val="single"/>
            <w:bdr w:val="none" w:sz="0" w:space="0" w:color="auto" w:frame="1"/>
          </w:rPr>
          <w:t>employer–employee relationship</w:t>
        </w:r>
      </w:hyperlink>
      <w:r w:rsidRPr="001711D7">
        <w:rPr>
          <w:rFonts w:ascii="inherit" w:eastAsia="Times New Roman" w:hAnsi="inherit" w:cs="Times New Roman"/>
        </w:rPr>
        <w:t>, the employee is subject to the control of the employer and, in </w:t>
      </w:r>
    </w:p>
    <w:p w:rsidR="001711D7" w:rsidRPr="001711D7" w:rsidRDefault="001711D7" w:rsidP="001711D7">
      <w:pPr>
        <w:textAlignment w:val="baseline"/>
        <w:outlineLvl w:val="0"/>
        <w:rPr>
          <w:rFonts w:ascii="inherit" w:eastAsia="Times New Roman" w:hAnsi="inherit" w:cs="Times New Roman"/>
          <w:b/>
          <w:bCs/>
          <w:color w:val="585858"/>
          <w:kern w:val="36"/>
        </w:rPr>
      </w:pPr>
      <w:r w:rsidRPr="001711D7">
        <w:rPr>
          <w:rFonts w:ascii="inherit" w:eastAsia="Times New Roman" w:hAnsi="inherit" w:cs="Times New Roman"/>
          <w:b/>
          <w:bCs/>
          <w:color w:val="585858"/>
          <w:kern w:val="36"/>
        </w:rPr>
        <w:t>Table 15-1</w:t>
      </w:r>
      <w:r w:rsidRPr="001711D7">
        <w:rPr>
          <w:rFonts w:ascii="inherit" w:eastAsia="Times New Roman" w:hAnsi="inherit" w:cs="Times New Roman"/>
          <w:b/>
          <w:bCs/>
          <w:color w:val="585858"/>
          <w:kern w:val="36"/>
        </w:rPr>
        <w:t> </w:t>
      </w:r>
      <w:r w:rsidRPr="001711D7">
        <w:rPr>
          <w:rFonts w:ascii="inherit" w:eastAsia="Times New Roman" w:hAnsi="inherit" w:cs="Times New Roman"/>
          <w:b/>
          <w:bCs/>
          <w:color w:val="585858"/>
          <w:kern w:val="36"/>
        </w:rPr>
        <w:t xml:space="preserve"> Types of Agency Relationships</w:t>
      </w:r>
    </w:p>
    <w:tbl>
      <w:tblPr>
        <w:tblW w:w="1198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2469"/>
        <w:gridCol w:w="9516"/>
      </w:tblGrid>
      <w:tr w:rsidR="001711D7" w:rsidRPr="001711D7" w:rsidTr="001711D7">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1711D7" w:rsidRPr="001711D7" w:rsidRDefault="001711D7" w:rsidP="001711D7">
            <w:pPr>
              <w:spacing w:line="402" w:lineRule="atLeast"/>
              <w:rPr>
                <w:rFonts w:ascii="inherit" w:eastAsia="Times New Roman" w:hAnsi="inherit" w:cs="Times New Roman"/>
                <w:sz w:val="21"/>
                <w:szCs w:val="21"/>
              </w:rPr>
            </w:pPr>
            <w:r w:rsidRPr="001711D7">
              <w:rPr>
                <w:rFonts w:ascii="inherit" w:eastAsia="Times New Roman" w:hAnsi="inherit" w:cs="Times New Roman"/>
                <w:sz w:val="21"/>
                <w:szCs w:val="21"/>
              </w:rPr>
              <w:t>Principal–agent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1711D7" w:rsidRPr="001711D7" w:rsidRDefault="001711D7" w:rsidP="001711D7">
            <w:pPr>
              <w:spacing w:line="402" w:lineRule="atLeast"/>
              <w:rPr>
                <w:rFonts w:ascii="inherit" w:eastAsia="Times New Roman" w:hAnsi="inherit" w:cs="Times New Roman"/>
                <w:sz w:val="21"/>
                <w:szCs w:val="21"/>
              </w:rPr>
            </w:pPr>
            <w:r w:rsidRPr="001711D7">
              <w:rPr>
                <w:rFonts w:ascii="inherit" w:eastAsia="Times New Roman" w:hAnsi="inherit" w:cs="Times New Roman"/>
                <w:sz w:val="21"/>
                <w:szCs w:val="21"/>
              </w:rPr>
              <w:t>Agent is hired by the principal to act on the principal’s behalf subject to the latter’s control and consent.</w:t>
            </w:r>
          </w:p>
        </w:tc>
      </w:tr>
      <w:tr w:rsidR="001711D7" w:rsidRPr="001711D7" w:rsidTr="001711D7">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1711D7" w:rsidRPr="001711D7" w:rsidRDefault="001711D7" w:rsidP="001711D7">
            <w:pPr>
              <w:spacing w:line="402" w:lineRule="atLeast"/>
              <w:rPr>
                <w:rFonts w:ascii="inherit" w:eastAsia="Times New Roman" w:hAnsi="inherit" w:cs="Times New Roman"/>
                <w:sz w:val="21"/>
                <w:szCs w:val="21"/>
              </w:rPr>
            </w:pPr>
            <w:r w:rsidRPr="001711D7">
              <w:rPr>
                <w:rFonts w:ascii="inherit" w:eastAsia="Times New Roman" w:hAnsi="inherit" w:cs="Times New Roman"/>
                <w:sz w:val="21"/>
                <w:szCs w:val="21"/>
              </w:rPr>
              <w:t>Employer–employee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1711D7" w:rsidRPr="001711D7" w:rsidRDefault="001711D7" w:rsidP="001711D7">
            <w:pPr>
              <w:spacing w:line="402" w:lineRule="atLeast"/>
              <w:rPr>
                <w:rFonts w:ascii="inherit" w:eastAsia="Times New Roman" w:hAnsi="inherit" w:cs="Times New Roman"/>
                <w:sz w:val="21"/>
                <w:szCs w:val="21"/>
              </w:rPr>
            </w:pPr>
            <w:r w:rsidRPr="001711D7">
              <w:rPr>
                <w:rFonts w:ascii="inherit" w:eastAsia="Times New Roman" w:hAnsi="inherit" w:cs="Times New Roman"/>
                <w:sz w:val="21"/>
                <w:szCs w:val="21"/>
              </w:rPr>
              <w:t>Employer controls the employee’s physical conduct and determines the details of performance.</w:t>
            </w:r>
          </w:p>
        </w:tc>
      </w:tr>
      <w:tr w:rsidR="001711D7" w:rsidRPr="001711D7" w:rsidTr="001711D7">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1711D7" w:rsidRPr="001711D7" w:rsidRDefault="001711D7" w:rsidP="001711D7">
            <w:pPr>
              <w:spacing w:line="402" w:lineRule="atLeast"/>
              <w:rPr>
                <w:rFonts w:ascii="inherit" w:eastAsia="Times New Roman" w:hAnsi="inherit" w:cs="Times New Roman"/>
                <w:sz w:val="21"/>
                <w:szCs w:val="21"/>
              </w:rPr>
            </w:pPr>
            <w:r w:rsidRPr="001711D7">
              <w:rPr>
                <w:rFonts w:ascii="inherit" w:eastAsia="Times New Roman" w:hAnsi="inherit" w:cs="Times New Roman"/>
                <w:sz w:val="21"/>
                <w:szCs w:val="21"/>
              </w:rPr>
              <w:t>Employer–independent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1711D7" w:rsidRPr="001711D7" w:rsidRDefault="001711D7" w:rsidP="001711D7">
            <w:pPr>
              <w:spacing w:line="402" w:lineRule="atLeast"/>
              <w:rPr>
                <w:rFonts w:ascii="inherit" w:eastAsia="Times New Roman" w:hAnsi="inherit" w:cs="Times New Roman"/>
                <w:sz w:val="21"/>
                <w:szCs w:val="21"/>
              </w:rPr>
            </w:pPr>
            <w:r w:rsidRPr="001711D7">
              <w:rPr>
                <w:rFonts w:ascii="inherit" w:eastAsia="Times New Roman" w:hAnsi="inherit" w:cs="Times New Roman"/>
                <w:sz w:val="21"/>
                <w:szCs w:val="21"/>
              </w:rPr>
              <w:t>Employer does not control the details of performance or conduct of the independent contractor.</w:t>
            </w:r>
          </w:p>
        </w:tc>
      </w:tr>
    </w:tbl>
    <w:p w:rsidR="001711D7" w:rsidRPr="001711D7" w:rsidRDefault="001711D7" w:rsidP="001711D7">
      <w:pPr>
        <w:rPr>
          <w:rFonts w:ascii="Times New Roman" w:eastAsia="Times New Roman" w:hAnsi="Times New Roman" w:cs="Times New Roman"/>
        </w:rPr>
      </w:pPr>
      <w:r w:rsidRPr="001711D7">
        <w:rPr>
          <w:rFonts w:ascii="Times New Roman" w:eastAsia="Times New Roman" w:hAnsi="Times New Roman" w:cs="Times New Roman"/>
        </w:rPr>
        <w:fldChar w:fldCharType="begin"/>
      </w:r>
      <w:r w:rsidRPr="001711D7">
        <w:rPr>
          <w:rFonts w:ascii="Times New Roman" w:eastAsia="Times New Roman" w:hAnsi="Times New Roman" w:cs="Times New Roman"/>
        </w:rPr>
        <w:instrText xml:space="preserve"> INCLUDEPICTURE "/var/folders/92/ngx3jzzn1l9235qg2g9hmbzr0000gn/T/com.microsoft.Word/WebArchiveCopyPasteTempFiles/Exhibit_15.1.png" \* MERGEFORMATINET </w:instrText>
      </w:r>
      <w:r w:rsidRPr="001711D7">
        <w:rPr>
          <w:rFonts w:ascii="Times New Roman" w:eastAsia="Times New Roman" w:hAnsi="Times New Roman" w:cs="Times New Roman"/>
        </w:rPr>
        <w:fldChar w:fldCharType="separate"/>
      </w:r>
      <w:r w:rsidRPr="001711D7">
        <w:rPr>
          <w:rFonts w:ascii="Times New Roman" w:eastAsia="Times New Roman" w:hAnsi="Times New Roman" w:cs="Times New Roman"/>
          <w:noProof/>
        </w:rPr>
        <w:drawing>
          <wp:inline distT="0" distB="0" distL="0" distR="0">
            <wp:extent cx="5943600" cy="2125345"/>
            <wp:effectExtent l="0" t="0" r="0" b="0"/>
            <wp:docPr id="2" name="Picture 2" descr="/var/folders/92/ngx3jzzn1l9235qg2g9hmbzr0000gn/T/com.microsoft.Word/WebArchiveCopyPasteTempFiles/Exhibit_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919100000000000000000F2EA" descr="/var/folders/92/ngx3jzzn1l9235qg2g9hmbzr0000gn/T/com.microsoft.Word/WebArchiveCopyPasteTempFiles/Exhibit_15.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25345"/>
                    </a:xfrm>
                    <a:prstGeom prst="rect">
                      <a:avLst/>
                    </a:prstGeom>
                    <a:noFill/>
                    <a:ln>
                      <a:noFill/>
                    </a:ln>
                  </pic:spPr>
                </pic:pic>
              </a:graphicData>
            </a:graphic>
          </wp:inline>
        </w:drawing>
      </w:r>
      <w:r w:rsidRPr="001711D7">
        <w:rPr>
          <w:rFonts w:ascii="Times New Roman" w:eastAsia="Times New Roman" w:hAnsi="Times New Roman" w:cs="Times New Roman"/>
        </w:rPr>
        <w:fldChar w:fldCharType="end"/>
      </w:r>
    </w:p>
    <w:p w:rsidR="001711D7" w:rsidRPr="001711D7" w:rsidRDefault="001711D7" w:rsidP="001711D7">
      <w:pPr>
        <w:textAlignment w:val="baseline"/>
        <w:outlineLvl w:val="0"/>
        <w:rPr>
          <w:rFonts w:ascii="inherit" w:eastAsia="Times New Roman" w:hAnsi="inherit" w:cs="Times New Roman"/>
          <w:b/>
          <w:bCs/>
          <w:color w:val="585858"/>
          <w:kern w:val="36"/>
        </w:rPr>
      </w:pPr>
      <w:r w:rsidRPr="001711D7">
        <w:rPr>
          <w:rFonts w:ascii="inherit" w:eastAsia="Times New Roman" w:hAnsi="inherit" w:cs="Times New Roman"/>
          <w:b/>
          <w:bCs/>
          <w:color w:val="585858"/>
          <w:kern w:val="36"/>
        </w:rPr>
        <w:t>Exhibit 15-1 Principal–Agency Relationship</w:t>
      </w:r>
    </w:p>
    <w:p w:rsidR="001711D7" w:rsidRPr="001711D7" w:rsidRDefault="001711D7" w:rsidP="001711D7">
      <w:pPr>
        <w:textAlignment w:val="baseline"/>
        <w:rPr>
          <w:rFonts w:ascii="inherit" w:eastAsia="Times New Roman" w:hAnsi="inherit" w:cs="Times New Roman"/>
        </w:rPr>
      </w:pPr>
      <w:r w:rsidRPr="001711D7">
        <w:rPr>
          <w:rFonts w:ascii="inherit" w:eastAsia="Times New Roman" w:hAnsi="inherit" w:cs="Times New Roman"/>
        </w:rPr>
        <w:t xml:space="preserve">accordance with expressed or implied authority, may enter into contractual relationships on behalf of the employer. In general, any agent who works for pay is considered an employee, and any employee, unless specifically limited, who deals with a third party is given agent status. The employer–employee relationship is particularly important because </w:t>
      </w:r>
      <w:r w:rsidRPr="001711D7">
        <w:rPr>
          <w:rFonts w:ascii="inherit" w:eastAsia="Times New Roman" w:hAnsi="inherit" w:cs="Times New Roman"/>
        </w:rPr>
        <w:lastRenderedPageBreak/>
        <w:t>it is the only agency relationship that is subject to workers’ compensation, Social Security, and unemployment compensation laws (as well as numerous other state and federal laws). It is also important to distinguish the employer–employee relationship from an </w:t>
      </w:r>
      <w:hyperlink r:id="rId14" w:anchor="P7000499191000000000000000005A1A" w:history="1">
        <w:r w:rsidRPr="001711D7">
          <w:rPr>
            <w:rFonts w:ascii="inherit" w:eastAsia="Times New Roman" w:hAnsi="inherit" w:cs="Times New Roman"/>
            <w:b/>
            <w:bCs/>
            <w:color w:val="1E7AB9"/>
            <w:u w:val="single"/>
            <w:bdr w:val="none" w:sz="0" w:space="0" w:color="auto" w:frame="1"/>
          </w:rPr>
          <w:t>employer–independent contractor relationship</w:t>
        </w:r>
      </w:hyperlink>
      <w:r w:rsidRPr="001711D7">
        <w:rPr>
          <w:rFonts w:ascii="inherit" w:eastAsia="Times New Roman" w:hAnsi="inherit" w:cs="Times New Roman"/>
        </w:rPr>
        <w:t>, which normally is not subject to these statutes; this is an important distinction in the legal environment of business.</w:t>
      </w:r>
    </w:p>
    <w:p w:rsidR="001711D7" w:rsidRPr="001711D7" w:rsidRDefault="001711D7" w:rsidP="001711D7">
      <w:pPr>
        <w:textAlignment w:val="baseline"/>
        <w:rPr>
          <w:rFonts w:ascii="inherit" w:eastAsia="Times New Roman" w:hAnsi="inherit" w:cs="Times New Roman"/>
        </w:rPr>
      </w:pPr>
      <w:r w:rsidRPr="001711D7">
        <w:rPr>
          <w:rFonts w:ascii="inherit" w:eastAsia="Times New Roman" w:hAnsi="inherit" w:cs="Times New Roman"/>
          <w:b/>
          <w:bCs/>
          <w:i/>
          <w:iCs/>
          <w:color w:val="333333"/>
          <w:bdr w:val="none" w:sz="0" w:space="0" w:color="auto" w:frame="1"/>
        </w:rPr>
        <w:t>respondeat superior </w:t>
      </w:r>
    </w:p>
    <w:p w:rsidR="001711D7" w:rsidRPr="001711D7" w:rsidRDefault="001711D7" w:rsidP="001711D7">
      <w:pPr>
        <w:ind w:left="720"/>
        <w:textAlignment w:val="baseline"/>
        <w:rPr>
          <w:rFonts w:ascii="inherit" w:eastAsia="Times New Roman" w:hAnsi="inherit" w:cs="Times New Roman"/>
        </w:rPr>
      </w:pPr>
      <w:r w:rsidRPr="001711D7">
        <w:rPr>
          <w:rFonts w:ascii="inherit" w:eastAsia="Times New Roman" w:hAnsi="inherit" w:cs="Times New Roman"/>
        </w:rPr>
        <w:t>Legal doctrine imposing liability on a principal for torts committed by an agent who is employed by the principal and subject to the principal’s control.</w:t>
      </w:r>
    </w:p>
    <w:p w:rsidR="001711D7" w:rsidRPr="001711D7" w:rsidRDefault="001711D7" w:rsidP="001711D7">
      <w:pPr>
        <w:textAlignment w:val="baseline"/>
        <w:rPr>
          <w:rFonts w:ascii="inherit" w:eastAsia="Times New Roman" w:hAnsi="inherit" w:cs="Times New Roman"/>
        </w:rPr>
      </w:pPr>
      <w:r w:rsidRPr="001711D7">
        <w:rPr>
          <w:rFonts w:ascii="inherit" w:eastAsia="Times New Roman" w:hAnsi="inherit" w:cs="Times New Roman"/>
          <w:b/>
          <w:bCs/>
          <w:i/>
          <w:iCs/>
          <w:color w:val="333333"/>
          <w:bdr w:val="none" w:sz="0" w:space="0" w:color="auto" w:frame="1"/>
        </w:rPr>
        <w:t>employer–employee relationship </w:t>
      </w:r>
    </w:p>
    <w:p w:rsidR="001711D7" w:rsidRPr="001711D7" w:rsidRDefault="001711D7" w:rsidP="001711D7">
      <w:pPr>
        <w:ind w:left="720"/>
        <w:textAlignment w:val="baseline"/>
        <w:rPr>
          <w:rFonts w:ascii="inherit" w:eastAsia="Times New Roman" w:hAnsi="inherit" w:cs="Times New Roman"/>
        </w:rPr>
      </w:pPr>
      <w:r w:rsidRPr="001711D7">
        <w:rPr>
          <w:rFonts w:ascii="inherit" w:eastAsia="Times New Roman" w:hAnsi="inherit" w:cs="Times New Roman"/>
        </w:rPr>
        <w:t>Relationship in which an agent (employee) who works for pay and is subject to the control of the principal (employer) may enter into contractual relationships on the latter’s behalf.</w:t>
      </w:r>
    </w:p>
    <w:p w:rsidR="001711D7" w:rsidRPr="001711D7" w:rsidRDefault="001711D7" w:rsidP="001711D7">
      <w:pPr>
        <w:textAlignment w:val="baseline"/>
        <w:rPr>
          <w:rFonts w:ascii="inherit" w:eastAsia="Times New Roman" w:hAnsi="inherit" w:cs="Times New Roman"/>
        </w:rPr>
      </w:pPr>
      <w:r w:rsidRPr="001711D7">
        <w:rPr>
          <w:rFonts w:ascii="inherit" w:eastAsia="Times New Roman" w:hAnsi="inherit" w:cs="Times New Roman"/>
          <w:b/>
          <w:bCs/>
          <w:i/>
          <w:iCs/>
          <w:color w:val="333333"/>
          <w:bdr w:val="none" w:sz="0" w:space="0" w:color="auto" w:frame="1"/>
        </w:rPr>
        <w:t>employer–independent contractor relationship </w:t>
      </w:r>
    </w:p>
    <w:p w:rsidR="001711D7" w:rsidRPr="001711D7" w:rsidRDefault="001711D7" w:rsidP="001711D7">
      <w:pPr>
        <w:ind w:left="720"/>
        <w:textAlignment w:val="baseline"/>
        <w:rPr>
          <w:rFonts w:ascii="inherit" w:eastAsia="Times New Roman" w:hAnsi="inherit" w:cs="Times New Roman"/>
        </w:rPr>
      </w:pPr>
      <w:r w:rsidRPr="001711D7">
        <w:rPr>
          <w:rFonts w:ascii="inherit" w:eastAsia="Times New Roman" w:hAnsi="inherit" w:cs="Times New Roman"/>
        </w:rPr>
        <w:t>Relationship in which the agent (independent contractor) is hired by the principal (employer) to do a specific job but is not controlled with respect to physical conduct or details of work performance.</w:t>
      </w:r>
    </w:p>
    <w:p w:rsidR="001711D7" w:rsidRPr="001711D7" w:rsidRDefault="001711D7" w:rsidP="001711D7">
      <w:pPr>
        <w:spacing w:before="228" w:after="114"/>
        <w:textAlignment w:val="baseline"/>
        <w:outlineLvl w:val="0"/>
        <w:rPr>
          <w:rFonts w:ascii="inherit" w:eastAsia="Times New Roman" w:hAnsi="inherit" w:cs="Times New Roman"/>
          <w:i/>
          <w:iCs/>
          <w:color w:val="585858"/>
          <w:kern w:val="36"/>
          <w:sz w:val="38"/>
          <w:szCs w:val="38"/>
        </w:rPr>
      </w:pPr>
      <w:r w:rsidRPr="001711D7">
        <w:rPr>
          <w:rFonts w:ascii="inherit" w:eastAsia="Times New Roman" w:hAnsi="inherit" w:cs="Times New Roman"/>
          <w:i/>
          <w:iCs/>
          <w:color w:val="585858"/>
          <w:kern w:val="36"/>
          <w:sz w:val="38"/>
          <w:szCs w:val="38"/>
        </w:rPr>
        <w:t>Employer–Independent Contractor</w:t>
      </w:r>
    </w:p>
    <w:p w:rsidR="001711D7" w:rsidRPr="001711D7" w:rsidRDefault="001711D7" w:rsidP="001711D7">
      <w:pPr>
        <w:textAlignment w:val="baseline"/>
        <w:rPr>
          <w:rFonts w:ascii="inherit" w:eastAsia="Times New Roman" w:hAnsi="inherit" w:cs="Times New Roman"/>
        </w:rPr>
      </w:pPr>
      <w:r w:rsidRPr="001711D7">
        <w:rPr>
          <w:rFonts w:ascii="inherit" w:eastAsia="Times New Roman" w:hAnsi="inherit" w:cs="Times New Roman"/>
        </w:rPr>
        <w:t> </w:t>
      </w:r>
      <w:r w:rsidRPr="001711D7">
        <w:rPr>
          <w:rFonts w:ascii="inherit" w:eastAsia="Times New Roman" w:hAnsi="inherit" w:cs="Times New Roman"/>
        </w:rPr>
        <w:t>Independent contractors are hired by the principal (employer) to do a specific job but are not controlled with respect to their physical conduct or the details of their work performance. In this type of agency relationship, the employer is normally not required to make payments into workers’ compensation pools or to withhold Social Security amounts and is not usually liable for torts committed by the independent contractor. (</w:t>
      </w:r>
      <w:r w:rsidRPr="001711D7">
        <w:rPr>
          <w:rFonts w:ascii="inherit" w:eastAsia="Times New Roman" w:hAnsi="inherit" w:cs="Times New Roman"/>
          <w:i/>
          <w:iCs/>
          <w:bdr w:val="none" w:sz="0" w:space="0" w:color="auto" w:frame="1"/>
        </w:rPr>
        <w:t>Torts</w:t>
      </w:r>
      <w:r w:rsidRPr="001711D7">
        <w:rPr>
          <w:rFonts w:ascii="inherit" w:eastAsia="Times New Roman" w:hAnsi="inherit" w:cs="Times New Roman"/>
        </w:rPr>
        <w:t>, you will recall, are wrongful acts, other than breaches of contract, for which damages may be obtained.) For example, the employer of a taxi driver who is an independent contractor and owns his or her own cab is not liable, in most instances, for damages when the driver injures another person in an accident.</w:t>
      </w:r>
    </w:p>
    <w:p w:rsidR="001711D7" w:rsidRPr="001711D7" w:rsidRDefault="001711D7" w:rsidP="001711D7">
      <w:pPr>
        <w:spacing w:after="360"/>
        <w:textAlignment w:val="baseline"/>
        <w:rPr>
          <w:rFonts w:ascii="inherit" w:eastAsia="Times New Roman" w:hAnsi="inherit" w:cs="Times New Roman"/>
        </w:rPr>
      </w:pPr>
      <w:r w:rsidRPr="001711D7">
        <w:rPr>
          <w:rFonts w:ascii="inherit" w:eastAsia="Times New Roman" w:hAnsi="inherit" w:cs="Times New Roman"/>
        </w:rPr>
        <w:t>When called on to distinguish between an employee and an independent contractor, courts scrutinize the degree of control the employer has over the agent. Courts also consider factors such as (1) whether the hired persons had a distinct occupation or profession, (2) whether they supplied their own tools and equipment, (3) whether they were employed only for a specific time period, (4) whether they were paid hourly or on completion of a job, and (5) what degree of skill was required to do the job.</w:t>
      </w:r>
    </w:p>
    <w:p w:rsidR="001711D7" w:rsidRPr="001711D7" w:rsidRDefault="001711D7" w:rsidP="001711D7">
      <w:pPr>
        <w:spacing w:after="360"/>
        <w:textAlignment w:val="baseline"/>
        <w:rPr>
          <w:rFonts w:ascii="inherit" w:eastAsia="Times New Roman" w:hAnsi="inherit" w:cs="Times New Roman"/>
        </w:rPr>
      </w:pPr>
      <w:r w:rsidRPr="001711D7">
        <w:rPr>
          <w:rFonts w:ascii="inherit" w:eastAsia="Times New Roman" w:hAnsi="inherit" w:cs="Times New Roman"/>
        </w:rPr>
        <w:t xml:space="preserve">To escape paying unemployment insurance taxes as well as medical benefits, many employers in recent years have classified their workers as independent contractors or part-time workers. A common strategy in the highly competitive business environment of the 1990s was to “downsize” by cutting back on the number of employees in a corporation through early retirement plans and layoffs and then to “restructure” by rehiring these people as “consultants” (independent contractors) to accomplish the same work they did as employees. This is essentially a cost-cutting measure. The “consultants” draw a per diem or lump sum instead of a salary for the job they are hired to perform, and the company saves on health care, unemployment compensation, and Social Security benefits. In turn, the independent contractors are free to work for others besides their old employer, perhaps </w:t>
      </w:r>
      <w:r w:rsidRPr="001711D7">
        <w:rPr>
          <w:rFonts w:ascii="inherit" w:eastAsia="Times New Roman" w:hAnsi="inherit" w:cs="Times New Roman"/>
        </w:rPr>
        <w:lastRenderedPageBreak/>
        <w:t>while receiving a pension from the employer. The case that follows indicates the close scrutiny courts are giving to employers’ classification of workers as independent contractors.</w:t>
      </w:r>
    </w:p>
    <w:p w:rsidR="001711D7" w:rsidRPr="001711D7" w:rsidRDefault="001711D7" w:rsidP="001711D7">
      <w:pPr>
        <w:spacing w:line="456" w:lineRule="atLeast"/>
        <w:textAlignment w:val="baseline"/>
        <w:outlineLvl w:val="0"/>
        <w:rPr>
          <w:rFonts w:ascii="inherit" w:eastAsia="Times New Roman" w:hAnsi="inherit" w:cs="Times New Roman"/>
          <w:color w:val="333333"/>
          <w:kern w:val="36"/>
          <w:sz w:val="38"/>
          <w:szCs w:val="38"/>
        </w:rPr>
      </w:pPr>
      <w:r w:rsidRPr="001711D7">
        <w:rPr>
          <w:rFonts w:ascii="inherit" w:eastAsia="Times New Roman" w:hAnsi="inherit" w:cs="Times New Roman"/>
          <w:color w:val="333333"/>
          <w:kern w:val="36"/>
          <w:sz w:val="38"/>
          <w:szCs w:val="38"/>
        </w:rPr>
        <w:t>Linking Law and Business Finance</w:t>
      </w:r>
    </w:p>
    <w:p w:rsidR="001711D7" w:rsidRPr="001711D7" w:rsidRDefault="001711D7" w:rsidP="001711D7">
      <w:pPr>
        <w:spacing w:after="180"/>
        <w:textAlignment w:val="baseline"/>
        <w:rPr>
          <w:rFonts w:ascii="inherit" w:eastAsia="Times New Roman" w:hAnsi="inherit" w:cs="Times New Roman"/>
        </w:rPr>
      </w:pPr>
      <w:r w:rsidRPr="001711D7">
        <w:rPr>
          <w:rFonts w:ascii="inherit" w:eastAsia="Times New Roman" w:hAnsi="inherit" w:cs="Times New Roman"/>
        </w:rPr>
        <w:t>In finance, you have examined agency relationships and, particularly, costs associated with such relationships. For example, if both parties to a relationship are utility maximizers, there is reason to believe that the agent will not act in the best interest of the principal. The principal can limit divergences from its interest by establishing appropriate incentives for the agent and by monitoring costs of agents. In addition, in some situations, it pays the agent to expend resources (bonding costs) to make sure that the principal is not harmed.</w:t>
      </w:r>
    </w:p>
    <w:p w:rsidR="001711D7" w:rsidRPr="001711D7" w:rsidRDefault="001711D7" w:rsidP="001711D7">
      <w:pPr>
        <w:numPr>
          <w:ilvl w:val="0"/>
          <w:numId w:val="1"/>
        </w:numPr>
        <w:textAlignment w:val="baseline"/>
        <w:rPr>
          <w:rFonts w:ascii="inherit" w:eastAsia="Times New Roman" w:hAnsi="inherit" w:cs="Times New Roman"/>
        </w:rPr>
      </w:pPr>
      <w:r w:rsidRPr="001711D7">
        <w:rPr>
          <w:rFonts w:ascii="inherit" w:eastAsia="Times New Roman" w:hAnsi="inherit" w:cs="Times New Roman"/>
        </w:rPr>
        <w:t>The sum of agency costs includes:</w:t>
      </w:r>
    </w:p>
    <w:p w:rsidR="001711D7" w:rsidRPr="001711D7" w:rsidRDefault="001711D7" w:rsidP="001711D7">
      <w:pPr>
        <w:numPr>
          <w:ilvl w:val="0"/>
          <w:numId w:val="1"/>
        </w:numPr>
        <w:textAlignment w:val="baseline"/>
        <w:rPr>
          <w:rFonts w:ascii="inherit" w:eastAsia="Times New Roman" w:hAnsi="inherit" w:cs="Times New Roman"/>
        </w:rPr>
      </w:pPr>
      <w:r w:rsidRPr="001711D7">
        <w:rPr>
          <w:rFonts w:ascii="inherit" w:eastAsia="Times New Roman" w:hAnsi="inherit" w:cs="Times New Roman"/>
        </w:rPr>
        <w:t>monitoring expenditures by the principal;</w:t>
      </w:r>
    </w:p>
    <w:p w:rsidR="001711D7" w:rsidRPr="001711D7" w:rsidRDefault="001711D7" w:rsidP="001711D7">
      <w:pPr>
        <w:numPr>
          <w:ilvl w:val="0"/>
          <w:numId w:val="1"/>
        </w:numPr>
        <w:textAlignment w:val="baseline"/>
        <w:rPr>
          <w:rFonts w:ascii="inherit" w:eastAsia="Times New Roman" w:hAnsi="inherit" w:cs="Times New Roman"/>
        </w:rPr>
      </w:pPr>
      <w:r w:rsidRPr="001711D7">
        <w:rPr>
          <w:rFonts w:ascii="inherit" w:eastAsia="Times New Roman" w:hAnsi="inherit" w:cs="Times New Roman"/>
        </w:rPr>
        <w:t>bonding expenditures by the agent; and</w:t>
      </w:r>
    </w:p>
    <w:p w:rsidR="001711D7" w:rsidRPr="001711D7" w:rsidRDefault="001711D7" w:rsidP="001711D7">
      <w:pPr>
        <w:numPr>
          <w:ilvl w:val="0"/>
          <w:numId w:val="1"/>
        </w:numPr>
        <w:textAlignment w:val="baseline"/>
        <w:rPr>
          <w:rFonts w:ascii="inherit" w:eastAsia="Times New Roman" w:hAnsi="inherit" w:cs="Times New Roman"/>
        </w:rPr>
      </w:pPr>
      <w:r w:rsidRPr="001711D7">
        <w:rPr>
          <w:rFonts w:ascii="inherit" w:eastAsia="Times New Roman" w:hAnsi="inherit" w:cs="Times New Roman"/>
        </w:rPr>
        <w:t>residual loss.</w:t>
      </w:r>
    </w:p>
    <w:p w:rsidR="001711D7" w:rsidRPr="001711D7" w:rsidRDefault="001711D7" w:rsidP="001711D7">
      <w:pPr>
        <w:textAlignment w:val="baseline"/>
        <w:rPr>
          <w:rFonts w:ascii="inherit" w:eastAsia="Times New Roman" w:hAnsi="inherit" w:cs="Times New Roman"/>
          <w:i/>
          <w:iCs/>
          <w:sz w:val="17"/>
          <w:szCs w:val="17"/>
        </w:rPr>
      </w:pPr>
      <w:r w:rsidRPr="001711D7">
        <w:rPr>
          <w:rFonts w:ascii="inherit" w:eastAsia="Times New Roman" w:hAnsi="inherit" w:cs="Times New Roman"/>
          <w:i/>
          <w:iCs/>
          <w:sz w:val="17"/>
          <w:szCs w:val="17"/>
        </w:rPr>
        <w:t>Source: M. Jensen and W. H. Meckling, “Agency Costs and the Theory of the Firm.” </w:t>
      </w:r>
      <w:r w:rsidRPr="001711D7">
        <w:rPr>
          <w:rFonts w:ascii="inherit" w:eastAsia="Times New Roman" w:hAnsi="inherit" w:cs="Times New Roman"/>
          <w:i/>
          <w:iCs/>
          <w:sz w:val="17"/>
          <w:szCs w:val="17"/>
          <w:bdr w:val="none" w:sz="0" w:space="0" w:color="auto" w:frame="1"/>
        </w:rPr>
        <w:t>Journal of Financial Economics</w:t>
      </w:r>
      <w:r w:rsidRPr="001711D7">
        <w:rPr>
          <w:rFonts w:ascii="inherit" w:eastAsia="Times New Roman" w:hAnsi="inherit" w:cs="Times New Roman"/>
          <w:i/>
          <w:iCs/>
          <w:sz w:val="17"/>
          <w:szCs w:val="17"/>
        </w:rPr>
        <w:t> 3 (1976): 79, 81.</w:t>
      </w:r>
    </w:p>
    <w:p w:rsidR="001711D7" w:rsidRPr="001711D7" w:rsidRDefault="001711D7" w:rsidP="001711D7">
      <w:pPr>
        <w:textAlignment w:val="baseline"/>
        <w:rPr>
          <w:rFonts w:ascii="inherit" w:eastAsia="Times New Roman" w:hAnsi="inherit" w:cs="Times New Roman"/>
        </w:rPr>
      </w:pPr>
      <w:r w:rsidRPr="001711D7">
        <w:rPr>
          <w:rFonts w:ascii="inherit" w:eastAsia="Times New Roman" w:hAnsi="inherit" w:cs="Times New Roman"/>
        </w:rPr>
        <w:t>In the following case, the court had to determine the status of an auto service company and its tow truck driver who assaulted the passenger of a vehicle the company had been hired to tow. Is the driver an employee or an independent contractor?</w:t>
      </w:r>
    </w:p>
    <w:p w:rsidR="001711D7" w:rsidRPr="001711D7" w:rsidRDefault="001711D7" w:rsidP="001711D7">
      <w:pPr>
        <w:spacing w:before="285" w:after="285" w:line="285" w:lineRule="atLeast"/>
        <w:textAlignment w:val="baseline"/>
        <w:outlineLvl w:val="0"/>
        <w:rPr>
          <w:rFonts w:ascii="inherit" w:eastAsia="Times New Roman" w:hAnsi="inherit" w:cs="Times New Roman"/>
          <w:b/>
          <w:bCs/>
          <w:color w:val="CC6600"/>
          <w:kern w:val="36"/>
          <w:sz w:val="30"/>
          <w:szCs w:val="30"/>
        </w:rPr>
      </w:pPr>
      <w:r w:rsidRPr="001711D7">
        <w:rPr>
          <w:rFonts w:ascii="inherit" w:eastAsia="Times New Roman" w:hAnsi="inherit" w:cs="Times New Roman"/>
          <w:b/>
          <w:bCs/>
          <w:color w:val="CC6600"/>
          <w:kern w:val="36"/>
          <w:sz w:val="30"/>
          <w:szCs w:val="30"/>
        </w:rPr>
        <w:fldChar w:fldCharType="begin"/>
      </w:r>
      <w:r w:rsidRPr="001711D7">
        <w:rPr>
          <w:rFonts w:ascii="inherit" w:eastAsia="Times New Roman" w:hAnsi="inherit" w:cs="Times New Roman"/>
          <w:b/>
          <w:bCs/>
          <w:color w:val="CC6600"/>
          <w:kern w:val="36"/>
          <w:sz w:val="30"/>
          <w:szCs w:val="30"/>
        </w:rPr>
        <w:instrText xml:space="preserve"> INCLUDEPICTURE "/var/folders/92/ngx3jzzn1l9235qg2g9hmbzr0000gn/T/com.microsoft.Word/WebArchiveCopyPasteTempFiles/Fotolia_47747980_Subscription_Monthly_XXL.png" \* MERGEFORMATINET </w:instrText>
      </w:r>
      <w:r w:rsidRPr="001711D7">
        <w:rPr>
          <w:rFonts w:ascii="inherit" w:eastAsia="Times New Roman" w:hAnsi="inherit" w:cs="Times New Roman"/>
          <w:b/>
          <w:bCs/>
          <w:color w:val="CC6600"/>
          <w:kern w:val="36"/>
          <w:sz w:val="30"/>
          <w:szCs w:val="30"/>
        </w:rPr>
        <w:fldChar w:fldCharType="separate"/>
      </w:r>
      <w:r w:rsidRPr="001711D7">
        <w:rPr>
          <w:rFonts w:ascii="inherit" w:eastAsia="Times New Roman" w:hAnsi="inherit" w:cs="Times New Roman"/>
          <w:b/>
          <w:bCs/>
          <w:noProof/>
          <w:color w:val="CC6600"/>
          <w:kern w:val="36"/>
          <w:sz w:val="30"/>
          <w:szCs w:val="30"/>
        </w:rPr>
        <w:drawing>
          <wp:inline distT="0" distB="0" distL="0" distR="0">
            <wp:extent cx="1352550" cy="1429385"/>
            <wp:effectExtent l="0" t="0" r="6350" b="5715"/>
            <wp:docPr id="1" name="Picture 1" descr="/var/folders/92/ngx3jzzn1l9235qg2g9hmbzr0000gn/T/com.microsoft.Word/WebArchiveCopyPasteTempFiles/Fotolia_47747980_Subscription_Monthly_X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919100000000000000000F310" descr="/var/folders/92/ngx3jzzn1l9235qg2g9hmbzr0000gn/T/com.microsoft.Word/WebArchiveCopyPasteTempFiles/Fotolia_47747980_Subscription_Monthly_XXL.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52550" cy="1429385"/>
                    </a:xfrm>
                    <a:prstGeom prst="rect">
                      <a:avLst/>
                    </a:prstGeom>
                    <a:noFill/>
                    <a:ln>
                      <a:noFill/>
                    </a:ln>
                  </pic:spPr>
                </pic:pic>
              </a:graphicData>
            </a:graphic>
          </wp:inline>
        </w:drawing>
      </w:r>
      <w:r w:rsidRPr="001711D7">
        <w:rPr>
          <w:rFonts w:ascii="inherit" w:eastAsia="Times New Roman" w:hAnsi="inherit" w:cs="Times New Roman"/>
          <w:b/>
          <w:bCs/>
          <w:color w:val="CC6600"/>
          <w:kern w:val="36"/>
          <w:sz w:val="30"/>
          <w:szCs w:val="30"/>
        </w:rPr>
        <w:fldChar w:fldCharType="end"/>
      </w:r>
      <w:r w:rsidRPr="001711D7">
        <w:rPr>
          <w:rFonts w:ascii="inherit" w:eastAsia="Times New Roman" w:hAnsi="inherit" w:cs="Times New Roman"/>
          <w:b/>
          <w:bCs/>
          <w:color w:val="CC6600"/>
          <w:kern w:val="36"/>
          <w:sz w:val="30"/>
          <w:szCs w:val="30"/>
        </w:rPr>
        <w:t> Case 15-1 Coker v. Pershad</w:t>
      </w:r>
    </w:p>
    <w:p w:rsidR="001711D7" w:rsidRPr="001711D7" w:rsidRDefault="001711D7" w:rsidP="001711D7">
      <w:pPr>
        <w:textAlignment w:val="baseline"/>
        <w:rPr>
          <w:rFonts w:ascii="inherit" w:eastAsia="Times New Roman" w:hAnsi="inherit" w:cs="Times New Roman"/>
          <w:color w:val="468173"/>
        </w:rPr>
      </w:pPr>
      <w:r w:rsidRPr="001711D7">
        <w:rPr>
          <w:rFonts w:ascii="inherit" w:eastAsia="Times New Roman" w:hAnsi="inherit" w:cs="Times New Roman"/>
          <w:color w:val="468173"/>
        </w:rPr>
        <w:t>Superior Court of New Jersey Appellate Division 2013 WL 1296271 (2013)</w:t>
      </w:r>
    </w:p>
    <w:p w:rsidR="001711D7" w:rsidRPr="001711D7" w:rsidRDefault="001711D7" w:rsidP="001711D7">
      <w:pPr>
        <w:textAlignment w:val="baseline"/>
        <w:rPr>
          <w:rFonts w:ascii="inherit" w:eastAsia="Times New Roman" w:hAnsi="inherit" w:cs="Times New Roman"/>
        </w:rPr>
      </w:pPr>
      <w:r w:rsidRPr="001711D7">
        <w:rPr>
          <w:rFonts w:ascii="inherit" w:eastAsia="Times New Roman" w:hAnsi="inherit" w:cs="Times New Roman"/>
          <w:b/>
          <w:bCs/>
          <w:bdr w:val="none" w:sz="0" w:space="0" w:color="auto" w:frame="1"/>
        </w:rPr>
        <w:t>Background and Facts</w:t>
      </w:r>
      <w:r w:rsidRPr="001711D7">
        <w:rPr>
          <w:rFonts w:ascii="inherit" w:eastAsia="Times New Roman" w:hAnsi="inherit" w:cs="Times New Roman"/>
        </w:rPr>
        <w:t> AAA North Jersey, Inc., contracted with Five Star Auto Service to perform towing and auto repair services for AAA. Terence Pershad, the driver of a tow truck for Five Star, responded to a call to AAA for assistance by the driver of a car involved in an accident in Hoboken, New Jersey. Pershad got into a fight with Nicholas Coker, a passenger in the car, and assaulted Coker with a knife. Coker filed a suit in a New Jersey state court against Pershad, Five Star, and AAA. The court determined that Pershad was Five Star’s employee and that Five Star was an independent contractor, not AAA’s employee. Thus, AAA was “not responsible for the alleged negligence of its independent contractor, defendant Five Star, in hiring Mr. Pershad.” Five Star entered into a settlement with Coker. Coker appealed the ruling in AAA’s favor.</w:t>
      </w:r>
    </w:p>
    <w:p w:rsidR="001711D7" w:rsidRPr="001711D7" w:rsidRDefault="001711D7" w:rsidP="001711D7">
      <w:pPr>
        <w:spacing w:after="360"/>
        <w:textAlignment w:val="baseline"/>
        <w:rPr>
          <w:rFonts w:ascii="inherit" w:eastAsia="Times New Roman" w:hAnsi="inherit" w:cs="Times New Roman"/>
        </w:rPr>
      </w:pPr>
      <w:r w:rsidRPr="001711D7">
        <w:rPr>
          <w:rFonts w:ascii="inherit" w:eastAsia="Times New Roman" w:hAnsi="inherit" w:cs="Times New Roman"/>
        </w:rPr>
        <w:t>The important difference between an employee and an independent contractor is that one who hires an independent contractor has no right of control over the manner in which the work is to be done.</w:t>
      </w:r>
    </w:p>
    <w:p w:rsidR="001711D7" w:rsidRPr="001711D7" w:rsidRDefault="001711D7" w:rsidP="001711D7">
      <w:pPr>
        <w:spacing w:after="360"/>
        <w:textAlignment w:val="baseline"/>
        <w:rPr>
          <w:rFonts w:ascii="inherit" w:eastAsia="Times New Roman" w:hAnsi="inherit" w:cs="Times New Roman"/>
        </w:rPr>
      </w:pPr>
      <w:r w:rsidRPr="001711D7">
        <w:rPr>
          <w:rFonts w:ascii="inherit" w:eastAsia="Times New Roman" w:hAnsi="inherit" w:cs="Times New Roman"/>
        </w:rPr>
        <w:lastRenderedPageBreak/>
        <w:t>Plaintiff [Coker] argues that AAA controlled the means and method of the work performed by Five Star. Factors [that] determine whether a principle maintains the right of control over an individual or a corporation claimed to be an independent contractor [include]:</w:t>
      </w:r>
    </w:p>
    <w:p w:rsidR="001711D7" w:rsidRPr="001711D7" w:rsidRDefault="001711D7" w:rsidP="001711D7">
      <w:pPr>
        <w:numPr>
          <w:ilvl w:val="0"/>
          <w:numId w:val="2"/>
        </w:numPr>
        <w:spacing w:line="428" w:lineRule="atLeast"/>
        <w:textAlignment w:val="baseline"/>
        <w:rPr>
          <w:rFonts w:ascii="inherit" w:eastAsia="Times New Roman" w:hAnsi="inherit" w:cs="Times New Roman"/>
          <w:sz w:val="21"/>
          <w:szCs w:val="21"/>
        </w:rPr>
      </w:pPr>
      <w:r w:rsidRPr="001711D7">
        <w:rPr>
          <w:rFonts w:ascii="inherit" w:eastAsia="Times New Roman" w:hAnsi="inherit" w:cs="Times New Roman"/>
          <w:sz w:val="21"/>
          <w:szCs w:val="21"/>
        </w:rPr>
        <w:t>the extent of control which, by the agreement, the master may exercise over the details of the work;</w:t>
      </w:r>
    </w:p>
    <w:p w:rsidR="001711D7" w:rsidRPr="001711D7" w:rsidRDefault="001711D7" w:rsidP="001711D7">
      <w:pPr>
        <w:numPr>
          <w:ilvl w:val="0"/>
          <w:numId w:val="2"/>
        </w:numPr>
        <w:spacing w:line="428" w:lineRule="atLeast"/>
        <w:textAlignment w:val="baseline"/>
        <w:rPr>
          <w:rFonts w:ascii="inherit" w:eastAsia="Times New Roman" w:hAnsi="inherit" w:cs="Times New Roman"/>
          <w:sz w:val="21"/>
          <w:szCs w:val="21"/>
        </w:rPr>
      </w:pPr>
      <w:r w:rsidRPr="001711D7">
        <w:rPr>
          <w:rFonts w:ascii="inherit" w:eastAsia="Times New Roman" w:hAnsi="inherit" w:cs="Times New Roman"/>
          <w:sz w:val="21"/>
          <w:szCs w:val="21"/>
        </w:rPr>
        <w:t>whether the one employed is engaged in a distinct occupation or business;</w:t>
      </w:r>
    </w:p>
    <w:p w:rsidR="001711D7" w:rsidRPr="001711D7" w:rsidRDefault="001711D7" w:rsidP="001711D7">
      <w:pPr>
        <w:numPr>
          <w:ilvl w:val="0"/>
          <w:numId w:val="2"/>
        </w:numPr>
        <w:spacing w:line="428" w:lineRule="atLeast"/>
        <w:textAlignment w:val="baseline"/>
        <w:rPr>
          <w:rFonts w:ascii="inherit" w:eastAsia="Times New Roman" w:hAnsi="inherit" w:cs="Times New Roman"/>
          <w:sz w:val="21"/>
          <w:szCs w:val="21"/>
        </w:rPr>
      </w:pPr>
      <w:r w:rsidRPr="001711D7">
        <w:rPr>
          <w:rFonts w:ascii="inherit" w:eastAsia="Times New Roman" w:hAnsi="inherit" w:cs="Times New Roman"/>
          <w:sz w:val="21"/>
          <w:szCs w:val="21"/>
        </w:rPr>
        <w:t>the kind of occupation, with reference to whether, in the locality, the work is usually done under the direction of the employer or by a specialist without supervision;</w:t>
      </w:r>
    </w:p>
    <w:p w:rsidR="001711D7" w:rsidRPr="001711D7" w:rsidRDefault="001711D7" w:rsidP="001711D7">
      <w:pPr>
        <w:numPr>
          <w:ilvl w:val="0"/>
          <w:numId w:val="2"/>
        </w:numPr>
        <w:spacing w:line="428" w:lineRule="atLeast"/>
        <w:textAlignment w:val="baseline"/>
        <w:rPr>
          <w:rFonts w:ascii="inherit" w:eastAsia="Times New Roman" w:hAnsi="inherit" w:cs="Times New Roman"/>
          <w:sz w:val="21"/>
          <w:szCs w:val="21"/>
        </w:rPr>
      </w:pPr>
      <w:r w:rsidRPr="001711D7">
        <w:rPr>
          <w:rFonts w:ascii="inherit" w:eastAsia="Times New Roman" w:hAnsi="inherit" w:cs="Times New Roman"/>
          <w:sz w:val="21"/>
          <w:szCs w:val="21"/>
        </w:rPr>
        <w:t>the skill required in a particular occupation;</w:t>
      </w:r>
    </w:p>
    <w:p w:rsidR="001711D7" w:rsidRPr="001711D7" w:rsidRDefault="001711D7" w:rsidP="001711D7">
      <w:pPr>
        <w:numPr>
          <w:ilvl w:val="0"/>
          <w:numId w:val="2"/>
        </w:numPr>
        <w:spacing w:line="428" w:lineRule="atLeast"/>
        <w:textAlignment w:val="baseline"/>
        <w:rPr>
          <w:rFonts w:ascii="inherit" w:eastAsia="Times New Roman" w:hAnsi="inherit" w:cs="Times New Roman"/>
          <w:sz w:val="21"/>
          <w:szCs w:val="21"/>
        </w:rPr>
      </w:pPr>
      <w:r w:rsidRPr="001711D7">
        <w:rPr>
          <w:rFonts w:ascii="inherit" w:eastAsia="Times New Roman" w:hAnsi="inherit" w:cs="Times New Roman"/>
          <w:sz w:val="21"/>
          <w:szCs w:val="21"/>
        </w:rPr>
        <w:t>whether the employer or the workman supplies the tools;</w:t>
      </w:r>
    </w:p>
    <w:p w:rsidR="001711D7" w:rsidRPr="001711D7" w:rsidRDefault="001711D7" w:rsidP="001711D7">
      <w:pPr>
        <w:numPr>
          <w:ilvl w:val="0"/>
          <w:numId w:val="2"/>
        </w:numPr>
        <w:spacing w:line="428" w:lineRule="atLeast"/>
        <w:textAlignment w:val="baseline"/>
        <w:rPr>
          <w:rFonts w:ascii="inherit" w:eastAsia="Times New Roman" w:hAnsi="inherit" w:cs="Times New Roman"/>
          <w:sz w:val="21"/>
          <w:szCs w:val="21"/>
        </w:rPr>
      </w:pPr>
      <w:r w:rsidRPr="001711D7">
        <w:rPr>
          <w:rFonts w:ascii="inherit" w:eastAsia="Times New Roman" w:hAnsi="inherit" w:cs="Times New Roman"/>
          <w:sz w:val="21"/>
          <w:szCs w:val="21"/>
        </w:rPr>
        <w:t>the length of time for which the person is employed.</w:t>
      </w:r>
    </w:p>
    <w:p w:rsidR="001711D7" w:rsidRPr="001711D7" w:rsidRDefault="001711D7" w:rsidP="001711D7">
      <w:pPr>
        <w:spacing w:after="360"/>
        <w:textAlignment w:val="baseline"/>
        <w:rPr>
          <w:rFonts w:ascii="inherit" w:eastAsia="Times New Roman" w:hAnsi="inherit" w:cs="Times New Roman"/>
        </w:rPr>
      </w:pPr>
      <w:r w:rsidRPr="001711D7">
        <w:rPr>
          <w:rFonts w:ascii="inherit" w:eastAsia="Times New Roman" w:hAnsi="inherit" w:cs="Times New Roman"/>
        </w:rPr>
        <w:t>Applying these factors to the facts of this case, it is clear that AAA did not control the manner and means of Five Star’s work. The Agreement specifically stated that Five Star was an independent contractor. Five Star purchased its own trucks and any other necessary equipment. AAA assigned jobs to Five Star, and Five Star completed the work without any further supervision by AAA. Five Star chose the employees to send on towing calls and the trucks and equipment the employees would use.</w:t>
      </w:r>
    </w:p>
    <w:p w:rsidR="001711D7" w:rsidRPr="001711D7" w:rsidRDefault="001711D7" w:rsidP="001711D7">
      <w:pPr>
        <w:spacing w:after="360"/>
        <w:textAlignment w:val="baseline"/>
        <w:rPr>
          <w:rFonts w:ascii="inherit" w:eastAsia="Times New Roman" w:hAnsi="inherit" w:cs="Times New Roman"/>
        </w:rPr>
      </w:pPr>
      <w:r w:rsidRPr="001711D7">
        <w:rPr>
          <w:rFonts w:ascii="inherit" w:eastAsia="Times New Roman" w:hAnsi="inherit" w:cs="Times New Roman"/>
        </w:rPr>
        <w:t>Five Star was also in business for itself and performed auto repair services for principals and customers other than AAA. Five Star hired and fired its own employees.</w:t>
      </w:r>
    </w:p>
    <w:p w:rsidR="001711D7" w:rsidRPr="001711D7" w:rsidRDefault="001711D7" w:rsidP="001711D7">
      <w:pPr>
        <w:spacing w:after="360"/>
        <w:textAlignment w:val="baseline"/>
        <w:rPr>
          <w:rFonts w:ascii="inherit" w:eastAsia="Times New Roman" w:hAnsi="inherit" w:cs="Times New Roman"/>
        </w:rPr>
      </w:pPr>
      <w:r w:rsidRPr="001711D7">
        <w:rPr>
          <w:rFonts w:ascii="inherit" w:eastAsia="Times New Roman" w:hAnsi="inherit" w:cs="Times New Roman"/>
        </w:rPr>
        <w:t>Plaintiff also argues that Five Star should be considered to be controlled by AAA because “providing towing and other roadside assistance is arguably the focus of the regular business of AAA.” [But] AAA is an automobile club that provides a wide variety of services to its members. It contracts with numerous service providers, such as gas stations, motels, and other businesses, to provide these services. Thus, AAA is not solely in the towing business.</w:t>
      </w:r>
    </w:p>
    <w:p w:rsidR="001711D7" w:rsidRPr="001711D7" w:rsidRDefault="001711D7" w:rsidP="001711D7">
      <w:pPr>
        <w:spacing w:after="360"/>
        <w:textAlignment w:val="baseline"/>
        <w:rPr>
          <w:rFonts w:ascii="inherit" w:eastAsia="Times New Roman" w:hAnsi="inherit" w:cs="Times New Roman"/>
        </w:rPr>
      </w:pPr>
      <w:r w:rsidRPr="001711D7">
        <w:rPr>
          <w:rFonts w:ascii="inherit" w:eastAsia="Times New Roman" w:hAnsi="inherit" w:cs="Times New Roman"/>
        </w:rPr>
        <w:t>AAA had used Five Star to provide towing services for approximately eight years, and there is nothing in the record to demonstrate that it lacked the skill needed to provide these services.</w:t>
      </w:r>
    </w:p>
    <w:p w:rsidR="001711D7" w:rsidRPr="001711D7" w:rsidRDefault="001711D7" w:rsidP="001711D7">
      <w:pPr>
        <w:textAlignment w:val="baseline"/>
        <w:rPr>
          <w:rFonts w:ascii="inherit" w:eastAsia="Times New Roman" w:hAnsi="inherit" w:cs="Times New Roman"/>
        </w:rPr>
      </w:pPr>
      <w:r w:rsidRPr="001711D7">
        <w:rPr>
          <w:rFonts w:ascii="inherit" w:eastAsia="Times New Roman" w:hAnsi="inherit" w:cs="Times New Roman"/>
        </w:rPr>
        <w:t>A state intermediate appellate court affirmed the lower court’s ruling. AAA could not be held liable for the actions of Five Star, its independent contractor, because “AAA did not control the manner and means of Five Star’s work.”</w:t>
      </w:r>
      <w:hyperlink r:id="rId16" w:anchor="P70004991910000000000000000034AA" w:history="1">
        <w:r w:rsidRPr="001711D7">
          <w:rPr>
            <w:rFonts w:ascii="inherit" w:eastAsia="Times New Roman" w:hAnsi="inherit" w:cs="Times New Roman"/>
            <w:b/>
            <w:bCs/>
            <w:color w:val="1E7AB9"/>
            <w:sz w:val="12"/>
            <w:szCs w:val="12"/>
            <w:u w:val="single"/>
            <w:bdr w:val="none" w:sz="0" w:space="0" w:color="auto" w:frame="1"/>
            <w:vertAlign w:val="superscript"/>
          </w:rPr>
          <w:t>*</w:t>
        </w:r>
      </w:hyperlink>
    </w:p>
    <w:p w:rsidR="001711D7" w:rsidRPr="001711D7" w:rsidRDefault="001711D7" w:rsidP="001711D7">
      <w:pPr>
        <w:textAlignment w:val="baseline"/>
        <w:rPr>
          <w:rFonts w:ascii="inherit" w:eastAsia="Times New Roman" w:hAnsi="inherit" w:cs="Times New Roman"/>
        </w:rPr>
      </w:pPr>
      <w:hyperlink r:id="rId17" w:anchor="r__P70004991910000000000000000034AA" w:history="1">
        <w:r w:rsidRPr="001711D7">
          <w:rPr>
            <w:rFonts w:ascii="inherit" w:eastAsia="Times New Roman" w:hAnsi="inherit" w:cs="Times New Roman"/>
            <w:b/>
            <w:bCs/>
            <w:color w:val="1E7AB9"/>
            <w:u w:val="single"/>
            <w:bdr w:val="none" w:sz="0" w:space="0" w:color="auto" w:frame="1"/>
          </w:rPr>
          <w:t>*</w:t>
        </w:r>
      </w:hyperlink>
      <w:r w:rsidRPr="001711D7">
        <w:rPr>
          <w:rFonts w:ascii="inherit" w:eastAsia="Times New Roman" w:hAnsi="inherit" w:cs="Times New Roman"/>
        </w:rPr>
        <w:t> Coker v. Pershad, Superior Court of New Jersey, Appellate Division 2013 WL 1296271 (2013).</w:t>
      </w:r>
    </w:p>
    <w:p w:rsidR="001711D7" w:rsidRPr="001711D7" w:rsidRDefault="001711D7" w:rsidP="001711D7">
      <w:pPr>
        <w:spacing w:before="285" w:after="142"/>
        <w:textAlignment w:val="baseline"/>
        <w:outlineLvl w:val="0"/>
        <w:rPr>
          <w:rFonts w:ascii="inherit" w:eastAsia="Times New Roman" w:hAnsi="inherit" w:cs="Times New Roman"/>
          <w:color w:val="585858"/>
          <w:kern w:val="36"/>
          <w:sz w:val="30"/>
          <w:szCs w:val="30"/>
        </w:rPr>
      </w:pPr>
      <w:r w:rsidRPr="001711D7">
        <w:rPr>
          <w:rFonts w:ascii="inherit" w:eastAsia="Times New Roman" w:hAnsi="inherit" w:cs="Times New Roman"/>
          <w:color w:val="585858"/>
          <w:kern w:val="36"/>
          <w:sz w:val="30"/>
          <w:szCs w:val="30"/>
        </w:rPr>
        <w:t>Critical Thinking About The Law </w:t>
      </w:r>
    </w:p>
    <w:p w:rsidR="001711D7" w:rsidRPr="001711D7" w:rsidRDefault="001711D7" w:rsidP="001711D7">
      <w:pPr>
        <w:spacing w:after="360"/>
        <w:textAlignment w:val="baseline"/>
        <w:rPr>
          <w:rFonts w:ascii="inherit" w:eastAsia="Times New Roman" w:hAnsi="inherit" w:cs="Times New Roman"/>
        </w:rPr>
      </w:pPr>
      <w:r w:rsidRPr="001711D7">
        <w:rPr>
          <w:rFonts w:ascii="inherit" w:eastAsia="Times New Roman" w:hAnsi="inherit" w:cs="Times New Roman"/>
        </w:rPr>
        <w:lastRenderedPageBreak/>
        <w:t>When courts establish legal tests, they describe conditions that must be met for the test to be passed. In Case 15-1, the plaintiff hoped he could meet the standards of the common-law test attached to an agency relationship.</w:t>
      </w:r>
    </w:p>
    <w:p w:rsidR="001711D7" w:rsidRPr="001711D7" w:rsidRDefault="001711D7" w:rsidP="001711D7">
      <w:pPr>
        <w:spacing w:after="360"/>
        <w:textAlignment w:val="baseline"/>
        <w:rPr>
          <w:rFonts w:ascii="inherit" w:eastAsia="Times New Roman" w:hAnsi="inherit" w:cs="Times New Roman"/>
        </w:rPr>
      </w:pPr>
      <w:r w:rsidRPr="001711D7">
        <w:rPr>
          <w:rFonts w:ascii="inherit" w:eastAsia="Times New Roman" w:hAnsi="inherit" w:cs="Times New Roman"/>
        </w:rPr>
        <w:t>To meet this test, a large range of facts had to be present. If the facts all fell into place in a particular way, the plaintiff would prevail.</w:t>
      </w:r>
    </w:p>
    <w:p w:rsidR="001711D7" w:rsidRPr="001711D7" w:rsidRDefault="001711D7" w:rsidP="001711D7">
      <w:pPr>
        <w:numPr>
          <w:ilvl w:val="0"/>
          <w:numId w:val="3"/>
        </w:numPr>
        <w:textAlignment w:val="baseline"/>
        <w:rPr>
          <w:rFonts w:ascii="inherit" w:eastAsia="Times New Roman" w:hAnsi="inherit" w:cs="Times New Roman"/>
        </w:rPr>
      </w:pPr>
      <w:r w:rsidRPr="001711D7">
        <w:rPr>
          <w:rFonts w:ascii="inherit" w:eastAsia="Times New Roman" w:hAnsi="inherit" w:cs="Times New Roman"/>
        </w:rPr>
        <w:t>Identify specific facts from Case 15-1 that might permit the plaintiff to prevail.</w:t>
      </w:r>
    </w:p>
    <w:p w:rsidR="001711D7" w:rsidRPr="001711D7" w:rsidRDefault="001711D7" w:rsidP="001711D7">
      <w:pPr>
        <w:ind w:left="720"/>
        <w:textAlignment w:val="baseline"/>
        <w:rPr>
          <w:rFonts w:ascii="inherit" w:eastAsia="Times New Roman" w:hAnsi="inherit" w:cs="Times New Roman"/>
        </w:rPr>
      </w:pPr>
      <w:r w:rsidRPr="001711D7">
        <w:rPr>
          <w:rFonts w:ascii="inherit" w:eastAsia="Times New Roman" w:hAnsi="inherit" w:cs="Times New Roman"/>
          <w:b/>
          <w:bCs/>
        </w:rPr>
        <w:t>Clue: </w:t>
      </w:r>
      <w:r w:rsidRPr="001711D7">
        <w:rPr>
          <w:rFonts w:ascii="inherit" w:eastAsia="Times New Roman" w:hAnsi="inherit" w:cs="Times New Roman"/>
        </w:rPr>
        <w:t>Go to the location in the decision where the court goes step-by-step through the test and pick out a few instances in which one part of the test was met because of a particular set of circumstances.</w:t>
      </w:r>
    </w:p>
    <w:p w:rsidR="001711D7" w:rsidRPr="001711D7" w:rsidRDefault="001711D7" w:rsidP="001711D7">
      <w:pPr>
        <w:numPr>
          <w:ilvl w:val="0"/>
          <w:numId w:val="3"/>
        </w:numPr>
        <w:textAlignment w:val="baseline"/>
        <w:rPr>
          <w:rFonts w:ascii="inherit" w:eastAsia="Times New Roman" w:hAnsi="inherit" w:cs="Times New Roman"/>
        </w:rPr>
      </w:pPr>
      <w:r w:rsidRPr="001711D7">
        <w:rPr>
          <w:rFonts w:ascii="inherit" w:eastAsia="Times New Roman" w:hAnsi="inherit" w:cs="Times New Roman"/>
        </w:rPr>
        <w:t>What “facts,” had they existed, would have allowed the plaintiff to win this case?</w:t>
      </w:r>
    </w:p>
    <w:p w:rsidR="001711D7" w:rsidRPr="001711D7" w:rsidRDefault="001711D7" w:rsidP="001711D7">
      <w:pPr>
        <w:ind w:left="720"/>
        <w:textAlignment w:val="baseline"/>
        <w:rPr>
          <w:rFonts w:ascii="inherit" w:eastAsia="Times New Roman" w:hAnsi="inherit" w:cs="Times New Roman"/>
        </w:rPr>
      </w:pPr>
      <w:r w:rsidRPr="001711D7">
        <w:rPr>
          <w:rFonts w:ascii="inherit" w:eastAsia="Times New Roman" w:hAnsi="inherit" w:cs="Times New Roman"/>
          <w:b/>
          <w:bCs/>
        </w:rPr>
        <w:t>Clue:</w:t>
      </w:r>
      <w:r w:rsidRPr="001711D7">
        <w:rPr>
          <w:rFonts w:ascii="inherit" w:eastAsia="Times New Roman" w:hAnsi="inherit" w:cs="Times New Roman"/>
        </w:rPr>
        <w:t> Read the court’s statement of the necessary conditions for establishing an agency. Then imagine some “facts” that would satisfy those conditions.</w:t>
      </w:r>
    </w:p>
    <w:p w:rsidR="001711D7" w:rsidRPr="001711D7" w:rsidRDefault="001711D7" w:rsidP="001711D7">
      <w:pPr>
        <w:spacing w:line="456" w:lineRule="atLeast"/>
        <w:textAlignment w:val="baseline"/>
        <w:outlineLvl w:val="0"/>
        <w:rPr>
          <w:rFonts w:ascii="inherit" w:eastAsia="Times New Roman" w:hAnsi="inherit" w:cs="Times New Roman"/>
          <w:color w:val="333333"/>
          <w:kern w:val="36"/>
          <w:sz w:val="38"/>
          <w:szCs w:val="38"/>
        </w:rPr>
      </w:pPr>
      <w:r w:rsidRPr="001711D7">
        <w:rPr>
          <w:rFonts w:ascii="inherit" w:eastAsia="Times New Roman" w:hAnsi="inherit" w:cs="Times New Roman"/>
          <w:color w:val="333333"/>
          <w:kern w:val="36"/>
          <w:sz w:val="38"/>
          <w:szCs w:val="38"/>
        </w:rPr>
        <w:t>“Temps”: Employees or Independent Contractors?</w:t>
      </w:r>
    </w:p>
    <w:p w:rsidR="001711D7" w:rsidRPr="001711D7" w:rsidRDefault="001711D7" w:rsidP="001711D7">
      <w:pPr>
        <w:spacing w:after="180"/>
        <w:textAlignment w:val="baseline"/>
        <w:rPr>
          <w:rFonts w:ascii="inherit" w:eastAsia="Times New Roman" w:hAnsi="inherit" w:cs="Times New Roman"/>
        </w:rPr>
      </w:pPr>
      <w:r w:rsidRPr="001711D7">
        <w:rPr>
          <w:rFonts w:ascii="inherit" w:eastAsia="Times New Roman" w:hAnsi="inherit" w:cs="Times New Roman"/>
        </w:rPr>
        <w:t>In 1990, the Internal Revenue Service found that Microsoft Corporation had hundreds of workers who were actually employees of the company, as opposed to independent contractors, based on the control that Microsoft exercised over them. Instead of contesting the IRS ruling, which required the company to pay back payroll taxes, Microsoft required most of its former independent contractors to become associated with employment agencies and work for Microsoft as “temps.” If they didn’t, they were laid off. Those workers who didn’t sign up with an agency sued Microsoft, claiming that they were employees of the company and were entitled to participate in the stock option plan. Microsoft argued that each of the workers had signed an independent contractor agreement and, thus, were not eligible for benefits. At the Ninth Circuit Court of Appeals level, the court held that the “temps” were “common-law employees” under agency law. Furthermore, the court stated that being employees of a temporary employment agency did not prevent the workers from being common-law employees of Microsoft at the same time.</w:t>
      </w:r>
    </w:p>
    <w:p w:rsidR="001711D7" w:rsidRPr="001711D7" w:rsidRDefault="001711D7" w:rsidP="001711D7">
      <w:pPr>
        <w:textAlignment w:val="baseline"/>
        <w:rPr>
          <w:rFonts w:ascii="inherit" w:eastAsia="Times New Roman" w:hAnsi="inherit" w:cs="Times New Roman"/>
          <w:i/>
          <w:iCs/>
          <w:sz w:val="17"/>
          <w:szCs w:val="17"/>
        </w:rPr>
      </w:pPr>
      <w:r w:rsidRPr="001711D7">
        <w:rPr>
          <w:rFonts w:ascii="inherit" w:eastAsia="Times New Roman" w:hAnsi="inherit" w:cs="Times New Roman"/>
          <w:i/>
          <w:iCs/>
          <w:sz w:val="17"/>
          <w:szCs w:val="17"/>
          <w:bdr w:val="none" w:sz="0" w:space="0" w:color="auto" w:frame="1"/>
        </w:rPr>
        <w:t>Source: Vizcaino v. Microsoft,</w:t>
      </w:r>
      <w:r w:rsidRPr="001711D7">
        <w:rPr>
          <w:rFonts w:ascii="inherit" w:eastAsia="Times New Roman" w:hAnsi="inherit" w:cs="Times New Roman"/>
          <w:i/>
          <w:iCs/>
          <w:sz w:val="17"/>
          <w:szCs w:val="17"/>
        </w:rPr>
        <w:t> 173 F.3d 713 (9th Cir. 1999).</w:t>
      </w:r>
    </w:p>
    <w:p w:rsidR="00CC3A64" w:rsidRDefault="001711D7">
      <w:bookmarkStart w:id="0" w:name="_GoBack"/>
      <w:bookmarkEnd w:id="0"/>
    </w:p>
    <w:sectPr w:rsidR="00CC3A64" w:rsidSect="00FB5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D320D6"/>
    <w:multiLevelType w:val="multilevel"/>
    <w:tmpl w:val="B2F63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A52721B"/>
    <w:multiLevelType w:val="multilevel"/>
    <w:tmpl w:val="9D14B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71195B"/>
    <w:multiLevelType w:val="multilevel"/>
    <w:tmpl w:val="CD5020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1D7"/>
    <w:rsid w:val="001711D7"/>
    <w:rsid w:val="00600AA5"/>
    <w:rsid w:val="00FB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B796B1"/>
  <w14:defaultImageDpi w14:val="32767"/>
  <w15:chartTrackingRefBased/>
  <w15:docId w15:val="{6728B934-3361-0F48-A101-477082938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1711D7"/>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1D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1711D7"/>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1711D7"/>
    <w:rPr>
      <w:color w:val="0000FF"/>
      <w:u w:val="single"/>
    </w:rPr>
  </w:style>
  <w:style w:type="character" w:customStyle="1" w:styleId="apple-converted-space">
    <w:name w:val="apple-converted-space"/>
    <w:basedOn w:val="DefaultParagraphFont"/>
    <w:rsid w:val="001711D7"/>
  </w:style>
  <w:style w:type="character" w:styleId="HTMLDefinition">
    <w:name w:val="HTML Definition"/>
    <w:basedOn w:val="DefaultParagraphFont"/>
    <w:uiPriority w:val="99"/>
    <w:semiHidden/>
    <w:unhideWhenUsed/>
    <w:rsid w:val="001711D7"/>
    <w:rPr>
      <w:i/>
      <w:iCs/>
    </w:rPr>
  </w:style>
  <w:style w:type="character" w:customStyle="1" w:styleId="label">
    <w:name w:val="label"/>
    <w:basedOn w:val="DefaultParagraphFont"/>
    <w:rsid w:val="001711D7"/>
  </w:style>
  <w:style w:type="character" w:customStyle="1" w:styleId="number">
    <w:name w:val="number"/>
    <w:basedOn w:val="DefaultParagraphFont"/>
    <w:rsid w:val="001711D7"/>
  </w:style>
  <w:style w:type="paragraph" w:customStyle="1" w:styleId="continued">
    <w:name w:val="continued"/>
    <w:basedOn w:val="Normal"/>
    <w:rsid w:val="001711D7"/>
    <w:pPr>
      <w:spacing w:before="100" w:beforeAutospacing="1" w:after="100" w:afterAutospacing="1"/>
    </w:pPr>
    <w:rPr>
      <w:rFonts w:ascii="Times New Roman" w:eastAsia="Times New Roman" w:hAnsi="Times New Roman" w:cs="Times New Roman"/>
    </w:rPr>
  </w:style>
  <w:style w:type="paragraph" w:customStyle="1" w:styleId="subtitle">
    <w:name w:val="subtitle"/>
    <w:basedOn w:val="Normal"/>
    <w:rsid w:val="001711D7"/>
    <w:pPr>
      <w:spacing w:before="100" w:beforeAutospacing="1" w:after="100" w:afterAutospacing="1"/>
    </w:pPr>
    <w:rPr>
      <w:rFonts w:ascii="Times New Roman" w:eastAsia="Times New Roman" w:hAnsi="Times New Roman" w:cs="Times New Roman"/>
    </w:rPr>
  </w:style>
  <w:style w:type="character" w:customStyle="1" w:styleId="leadin">
    <w:name w:val="leadin"/>
    <w:basedOn w:val="DefaultParagraphFont"/>
    <w:rsid w:val="00171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8123733">
      <w:bodyDiv w:val="1"/>
      <w:marLeft w:val="0"/>
      <w:marRight w:val="0"/>
      <w:marTop w:val="0"/>
      <w:marBottom w:val="0"/>
      <w:divBdr>
        <w:top w:val="none" w:sz="0" w:space="0" w:color="auto"/>
        <w:left w:val="none" w:sz="0" w:space="0" w:color="auto"/>
        <w:bottom w:val="none" w:sz="0" w:space="0" w:color="auto"/>
        <w:right w:val="none" w:sz="0" w:space="0" w:color="auto"/>
      </w:divBdr>
      <w:divsChild>
        <w:div w:id="1506744653">
          <w:marLeft w:val="0"/>
          <w:marRight w:val="0"/>
          <w:marTop w:val="0"/>
          <w:marBottom w:val="0"/>
          <w:divBdr>
            <w:top w:val="none" w:sz="0" w:space="0" w:color="auto"/>
            <w:left w:val="none" w:sz="0" w:space="0" w:color="auto"/>
            <w:bottom w:val="none" w:sz="0" w:space="0" w:color="auto"/>
            <w:right w:val="none" w:sz="0" w:space="0" w:color="auto"/>
          </w:divBdr>
        </w:div>
        <w:div w:id="1449079581">
          <w:marLeft w:val="0"/>
          <w:marRight w:val="0"/>
          <w:marTop w:val="0"/>
          <w:marBottom w:val="0"/>
          <w:divBdr>
            <w:top w:val="none" w:sz="0" w:space="0" w:color="auto"/>
            <w:left w:val="none" w:sz="0" w:space="0" w:color="auto"/>
            <w:bottom w:val="none" w:sz="0" w:space="0" w:color="auto"/>
            <w:right w:val="none" w:sz="0" w:space="0" w:color="auto"/>
          </w:divBdr>
        </w:div>
        <w:div w:id="636911168">
          <w:blockQuote w:val="1"/>
          <w:marLeft w:val="0"/>
          <w:marRight w:val="0"/>
          <w:marTop w:val="0"/>
          <w:marBottom w:val="402"/>
          <w:divBdr>
            <w:top w:val="single" w:sz="2" w:space="0" w:color="CC6600"/>
            <w:left w:val="single" w:sz="6" w:space="18" w:color="CC6600"/>
            <w:bottom w:val="single" w:sz="2" w:space="0" w:color="CC6600"/>
            <w:right w:val="single" w:sz="2" w:space="0" w:color="CC6600"/>
          </w:divBdr>
        </w:div>
        <w:div w:id="26414184">
          <w:marLeft w:val="0"/>
          <w:marRight w:val="0"/>
          <w:marTop w:val="0"/>
          <w:marBottom w:val="0"/>
          <w:divBdr>
            <w:top w:val="none" w:sz="0" w:space="0" w:color="auto"/>
            <w:left w:val="none" w:sz="0" w:space="0" w:color="auto"/>
            <w:bottom w:val="none" w:sz="0" w:space="0" w:color="auto"/>
            <w:right w:val="none" w:sz="0" w:space="0" w:color="auto"/>
          </w:divBdr>
        </w:div>
        <w:div w:id="441534377">
          <w:marLeft w:val="0"/>
          <w:marRight w:val="0"/>
          <w:marTop w:val="0"/>
          <w:marBottom w:val="0"/>
          <w:divBdr>
            <w:top w:val="none" w:sz="0" w:space="0" w:color="auto"/>
            <w:left w:val="none" w:sz="0" w:space="0" w:color="auto"/>
            <w:bottom w:val="none" w:sz="0" w:space="0" w:color="auto"/>
            <w:right w:val="none" w:sz="0" w:space="0" w:color="auto"/>
          </w:divBdr>
        </w:div>
        <w:div w:id="916204365">
          <w:marLeft w:val="0"/>
          <w:marRight w:val="0"/>
          <w:marTop w:val="0"/>
          <w:marBottom w:val="0"/>
          <w:divBdr>
            <w:top w:val="none" w:sz="0" w:space="0" w:color="auto"/>
            <w:left w:val="none" w:sz="0" w:space="0" w:color="auto"/>
            <w:bottom w:val="none" w:sz="0" w:space="0" w:color="auto"/>
            <w:right w:val="none" w:sz="0" w:space="0" w:color="auto"/>
          </w:divBdr>
        </w:div>
        <w:div w:id="1153833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323829264/epub/OPS/xhtml/fileP7000499191000000000000000003214.xhtml"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jigsaw.vitalsource.com/books/9781323829264/epub/OPS/xhtml/fileP7000499191000000000000000005899.xhtml" TargetMode="External"/><Relationship Id="rId12" Type="http://schemas.openxmlformats.org/officeDocument/2006/relationships/hyperlink" Target="https://jigsaw.vitalsource.com/books/9781323829264/epub/OPS/xhtml/fileP7000499191000000000000000005899.xhtml" TargetMode="External"/><Relationship Id="rId17" Type="http://schemas.openxmlformats.org/officeDocument/2006/relationships/hyperlink" Target="https://jigsaw.vitalsource.com/books/9781323829264/epub/OPS/xhtml/fileP7000499191000000000000000003214.xhtml" TargetMode="External"/><Relationship Id="rId2" Type="http://schemas.openxmlformats.org/officeDocument/2006/relationships/styles" Target="styles.xml"/><Relationship Id="rId16" Type="http://schemas.openxmlformats.org/officeDocument/2006/relationships/hyperlink" Target="https://jigsaw.vitalsource.com/books/9781323829264/epub/OPS/xhtml/fileP7000499191000000000000000003214.xhtml" TargetMode="External"/><Relationship Id="rId1" Type="http://schemas.openxmlformats.org/officeDocument/2006/relationships/numbering" Target="numbering.xml"/><Relationship Id="rId6" Type="http://schemas.openxmlformats.org/officeDocument/2006/relationships/hyperlink" Target="https://jigsaw.vitalsource.com/books/9781323829264/epub/OPS/xhtml/fileP7000499191000000000000000003214.xhtml" TargetMode="External"/><Relationship Id="rId11" Type="http://schemas.openxmlformats.org/officeDocument/2006/relationships/hyperlink" Target="https://jigsaw.vitalsource.com/books/9781323829264/epub/OPS/xhtml/fileP7000499191000000000000000005899.xhtml" TargetMode="External"/><Relationship Id="rId5" Type="http://schemas.openxmlformats.org/officeDocument/2006/relationships/hyperlink" Target="https://jigsaw.vitalsource.com/books/9781323829264/epub/OPS/xhtml/fileP7000499191000000000000000005899.xhtml" TargetMode="External"/><Relationship Id="rId15" Type="http://schemas.openxmlformats.org/officeDocument/2006/relationships/image" Target="media/image2.png"/><Relationship Id="rId10" Type="http://schemas.openxmlformats.org/officeDocument/2006/relationships/hyperlink" Target="https://jigsaw.vitalsource.com/books/9781323829264/epub/OPS/xhtml/fileP7000499191000000000000000005899.x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jigsaw.vitalsource.com/books/9781323829264/epub/OPS/xhtml/fileP7000499191000000000000000005899.xhtml" TargetMode="External"/><Relationship Id="rId14" Type="http://schemas.openxmlformats.org/officeDocument/2006/relationships/hyperlink" Target="https://jigsaw.vitalsource.com/books/9781323829264/epub/OPS/xhtml/fileP7000499191000000000000000005899.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2426</Words>
  <Characters>13831</Characters>
  <Application>Microsoft Office Word</Application>
  <DocSecurity>0</DocSecurity>
  <Lines>115</Lines>
  <Paragraphs>32</Paragraphs>
  <ScaleCrop>false</ScaleCrop>
  <Company/>
  <LinksUpToDate>false</LinksUpToDate>
  <CharactersWithSpaces>16225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Elundria Austin</dc:creator>
  <cp:keywords/>
  <dc:description/>
  <cp:lastModifiedBy>Elundria Austin</cp:lastModifiedBy>
  <cp:revision>1</cp:revision>
  <dcterms:created xsi:type="dcterms:W3CDTF">2019-08-11T00:47:00Z</dcterms:created>
  <dcterms:modified xsi:type="dcterms:W3CDTF">2019-08-11T00:48:00Z</dcterms:modified>
</cp:coreProperties>
</file>